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BA2E" w14:textId="0A9037F7" w:rsidR="008847D3" w:rsidRDefault="008847D3" w:rsidP="008847D3">
      <w:pPr>
        <w:jc w:val="right"/>
      </w:pPr>
      <w:r>
        <w:rPr>
          <w:rFonts w:eastAsia="Times New Roman"/>
          <w:lang w:eastAsia="en-CA"/>
        </w:rPr>
        <w:t>Campus Security (220-5333)</w:t>
      </w:r>
    </w:p>
    <w:p w14:paraId="7A6BAF17" w14:textId="3FB30EE3" w:rsidR="00EF7E7F" w:rsidRDefault="00E311EB" w:rsidP="002452E2">
      <w:pPr>
        <w:jc w:val="center"/>
        <w:rPr>
          <w:b/>
          <w:sz w:val="32"/>
          <w:szCs w:val="32"/>
        </w:rPr>
      </w:pPr>
      <w:r>
        <w:rPr>
          <w:noProof/>
          <w:lang w:val="en-CA" w:eastAsia="en-CA"/>
        </w:rPr>
        <w:drawing>
          <wp:inline distT="0" distB="0" distL="0" distR="0" wp14:anchorId="256D330A" wp14:editId="50A13746">
            <wp:extent cx="2552362" cy="827999"/>
            <wp:effectExtent l="0" t="0" r="63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2" b="12752"/>
                    <a:stretch/>
                  </pic:blipFill>
                  <pic:spPr bwMode="auto">
                    <a:xfrm>
                      <a:off x="0" y="0"/>
                      <a:ext cx="2666675" cy="865083"/>
                    </a:xfrm>
                    <a:prstGeom prst="rect">
                      <a:avLst/>
                    </a:prstGeom>
                    <a:ln>
                      <a:noFill/>
                    </a:ln>
                    <a:extLst>
                      <a:ext uri="{53640926-AAD7-44D8-BBD7-CCE9431645EC}">
                        <a14:shadowObscured xmlns:a14="http://schemas.microsoft.com/office/drawing/2010/main"/>
                      </a:ext>
                    </a:extLst>
                  </pic:spPr>
                </pic:pic>
              </a:graphicData>
            </a:graphic>
          </wp:inline>
        </w:drawing>
      </w:r>
    </w:p>
    <w:p w14:paraId="491F2DC1" w14:textId="22177EE4" w:rsidR="006358A7" w:rsidRPr="00AB6EEF" w:rsidRDefault="006358A7" w:rsidP="00EF7E7F">
      <w:pPr>
        <w:jc w:val="center"/>
        <w:rPr>
          <w:sz w:val="36"/>
          <w:szCs w:val="36"/>
        </w:rPr>
      </w:pPr>
      <w:r w:rsidRPr="00AB6EEF">
        <w:rPr>
          <w:b/>
          <w:sz w:val="36"/>
          <w:szCs w:val="36"/>
        </w:rPr>
        <w:t>Department of History</w:t>
      </w:r>
    </w:p>
    <w:p w14:paraId="4C2B22D9" w14:textId="77777777" w:rsidR="006358A7" w:rsidRPr="00F11C16" w:rsidRDefault="006358A7" w:rsidP="006358A7">
      <w:pPr>
        <w:jc w:val="center"/>
      </w:pPr>
    </w:p>
    <w:p w14:paraId="47F9B99B" w14:textId="38BB31B8" w:rsidR="00F96D8C" w:rsidRDefault="00F96D8C" w:rsidP="00F96D8C">
      <w:pPr>
        <w:jc w:val="center"/>
        <w:rPr>
          <w:b/>
          <w:bCs/>
          <w:i/>
          <w:smallCaps/>
          <w:sz w:val="28"/>
          <w:szCs w:val="28"/>
        </w:rPr>
      </w:pPr>
      <w:r>
        <w:rPr>
          <w:b/>
          <w:bCs/>
          <w:sz w:val="28"/>
          <w:szCs w:val="28"/>
        </w:rPr>
        <w:t xml:space="preserve">HTST 493.58: </w:t>
      </w:r>
      <w:r>
        <w:rPr>
          <w:b/>
          <w:bCs/>
          <w:i/>
          <w:smallCaps/>
          <w:sz w:val="28"/>
          <w:szCs w:val="28"/>
        </w:rPr>
        <w:t>Topics in History</w:t>
      </w:r>
      <w:r w:rsidR="0094357D">
        <w:rPr>
          <w:b/>
          <w:bCs/>
          <w:i/>
          <w:smallCaps/>
          <w:sz w:val="28"/>
          <w:szCs w:val="28"/>
        </w:rPr>
        <w:t>:</w:t>
      </w:r>
    </w:p>
    <w:p w14:paraId="5E86E364" w14:textId="77777777" w:rsidR="00F96D8C" w:rsidRPr="00413B58" w:rsidRDefault="00F96D8C" w:rsidP="00F96D8C">
      <w:pPr>
        <w:jc w:val="center"/>
        <w:rPr>
          <w:b/>
          <w:bCs/>
          <w:sz w:val="28"/>
          <w:szCs w:val="28"/>
        </w:rPr>
      </w:pPr>
      <w:r>
        <w:rPr>
          <w:b/>
          <w:bCs/>
          <w:i/>
          <w:smallCaps/>
          <w:sz w:val="28"/>
          <w:szCs w:val="28"/>
        </w:rPr>
        <w:t>Places and Spaces of Authority in Irish History</w:t>
      </w:r>
    </w:p>
    <w:p w14:paraId="21CFC0E9" w14:textId="1EEEE73B" w:rsidR="006358A7" w:rsidRDefault="0095472A" w:rsidP="006358A7">
      <w:pPr>
        <w:jc w:val="center"/>
      </w:pPr>
      <w:r>
        <w:t>Spring</w:t>
      </w:r>
      <w:r w:rsidR="00F96D8C">
        <w:t xml:space="preserve"> </w:t>
      </w:r>
      <w:r>
        <w:t>202</w:t>
      </w:r>
      <w:r w:rsidR="00E857E1">
        <w:t>4</w:t>
      </w:r>
    </w:p>
    <w:p w14:paraId="605F1ECA" w14:textId="3C2D067F" w:rsidR="007C0BAA" w:rsidRDefault="007C0BAA" w:rsidP="006358A7">
      <w:pPr>
        <w:jc w:val="center"/>
      </w:pPr>
    </w:p>
    <w:p w14:paraId="273CC3C5" w14:textId="61D8051F" w:rsidR="007C0BAA" w:rsidRDefault="007C0BAA" w:rsidP="007C0BAA">
      <w:pPr>
        <w:jc w:val="center"/>
        <w:rPr>
          <w:b/>
          <w:bCs/>
        </w:rPr>
      </w:pPr>
      <w:r>
        <w:rPr>
          <w:b/>
          <w:bCs/>
        </w:rPr>
        <w:t xml:space="preserve">Field Dates: </w:t>
      </w:r>
      <w:r w:rsidR="00E857E1">
        <w:rPr>
          <w:b/>
          <w:bCs/>
        </w:rPr>
        <w:t>3</w:t>
      </w:r>
      <w:r>
        <w:rPr>
          <w:b/>
          <w:bCs/>
        </w:rPr>
        <w:t>-2</w:t>
      </w:r>
      <w:r w:rsidR="0050671F">
        <w:rPr>
          <w:b/>
          <w:bCs/>
        </w:rPr>
        <w:t>4</w:t>
      </w:r>
      <w:r>
        <w:rPr>
          <w:b/>
          <w:bCs/>
        </w:rPr>
        <w:t xml:space="preserve"> May 202</w:t>
      </w:r>
      <w:r w:rsidR="00E857E1">
        <w:rPr>
          <w:b/>
          <w:bCs/>
        </w:rPr>
        <w:t>4</w:t>
      </w:r>
    </w:p>
    <w:p w14:paraId="612F3129" w14:textId="77777777" w:rsidR="007C0BAA" w:rsidRPr="004318FF" w:rsidRDefault="007C0BAA" w:rsidP="007C0BAA">
      <w:pPr>
        <w:jc w:val="center"/>
        <w:rPr>
          <w:b/>
          <w:bCs/>
        </w:rPr>
      </w:pPr>
    </w:p>
    <w:p w14:paraId="6A7DCE81" w14:textId="77777777" w:rsidR="007C0BAA" w:rsidRDefault="007C0BAA" w:rsidP="007C0BAA">
      <w:pPr>
        <w:jc w:val="center"/>
        <w:rPr>
          <w:b/>
        </w:rPr>
      </w:pPr>
      <w:r>
        <w:rPr>
          <w:b/>
        </w:rPr>
        <w:t xml:space="preserve">Pre-Departure Sessions: </w:t>
      </w:r>
    </w:p>
    <w:p w14:paraId="7768182E" w14:textId="0D2DBB77" w:rsidR="007C0BAA" w:rsidRPr="00BF6D4D" w:rsidRDefault="007C0BAA" w:rsidP="007C0BAA">
      <w:pPr>
        <w:jc w:val="center"/>
        <w:rPr>
          <w:b/>
        </w:rPr>
      </w:pPr>
      <w:r>
        <w:rPr>
          <w:b/>
        </w:rPr>
        <w:t>May 1 (10</w:t>
      </w:r>
      <w:r w:rsidR="00D95BAD">
        <w:rPr>
          <w:b/>
        </w:rPr>
        <w:t>am</w:t>
      </w:r>
      <w:r>
        <w:rPr>
          <w:b/>
        </w:rPr>
        <w:t>-12pm</w:t>
      </w:r>
      <w:r w:rsidR="00D95BAD">
        <w:rPr>
          <w:b/>
        </w:rPr>
        <w:t>, 1-3pm</w:t>
      </w:r>
      <w:r>
        <w:rPr>
          <w:b/>
        </w:rPr>
        <w:t>), May 2 (10</w:t>
      </w:r>
      <w:r w:rsidR="00D95BAD">
        <w:rPr>
          <w:b/>
        </w:rPr>
        <w:t>am</w:t>
      </w:r>
      <w:r>
        <w:rPr>
          <w:b/>
        </w:rPr>
        <w:t>-12pm</w:t>
      </w:r>
      <w:r w:rsidR="00D95BAD">
        <w:rPr>
          <w:b/>
        </w:rPr>
        <w:t>, 1-3pm</w:t>
      </w:r>
      <w:r>
        <w:rPr>
          <w:b/>
        </w:rPr>
        <w:t>)</w:t>
      </w:r>
    </w:p>
    <w:p w14:paraId="265F0B2F" w14:textId="1EBF486B" w:rsidR="007C0BAA" w:rsidRPr="00BA7059" w:rsidRDefault="007C0BAA" w:rsidP="007C0BAA">
      <w:pPr>
        <w:jc w:val="center"/>
      </w:pPr>
      <w:r w:rsidRPr="00BF6D4D">
        <w:rPr>
          <w:b/>
        </w:rPr>
        <w:t xml:space="preserve">Social Sciences Bldg. Room </w:t>
      </w:r>
      <w:r w:rsidR="00D95BAD">
        <w:rPr>
          <w:b/>
        </w:rPr>
        <w:t>SS</w:t>
      </w:r>
      <w:r w:rsidRPr="00BF6D4D">
        <w:rPr>
          <w:b/>
        </w:rPr>
        <w:t>623</w:t>
      </w:r>
    </w:p>
    <w:p w14:paraId="5B348583" w14:textId="2D0B6B57" w:rsidR="001E2D11" w:rsidRDefault="001E2D11" w:rsidP="002452E2"/>
    <w:p w14:paraId="0E7D1EF9" w14:textId="70DE0F7A" w:rsidR="00C74222" w:rsidRDefault="006358A7" w:rsidP="00C74222">
      <w:r w:rsidRPr="00BA7059">
        <w:rPr>
          <w:b/>
        </w:rPr>
        <w:t>Instructor</w:t>
      </w:r>
      <w:r w:rsidRPr="00BA7059">
        <w:t>:</w:t>
      </w:r>
      <w:r w:rsidR="00C74222" w:rsidRPr="00BA7059">
        <w:t xml:space="preserve"> </w:t>
      </w:r>
      <w:r w:rsidR="00F96D8C" w:rsidRPr="00222649">
        <w:t>Dr. Glenn Wilkinson</w:t>
      </w:r>
    </w:p>
    <w:p w14:paraId="78F9C95D" w14:textId="0CEB8E05" w:rsidR="006358A7" w:rsidRDefault="006358A7" w:rsidP="006358A7">
      <w:r w:rsidRPr="00BA7059">
        <w:rPr>
          <w:b/>
        </w:rPr>
        <w:t>Email</w:t>
      </w:r>
      <w:r w:rsidRPr="00BA7059">
        <w:t xml:space="preserve">: </w:t>
      </w:r>
      <w:hyperlink r:id="rId9" w:history="1">
        <w:r w:rsidR="007C0BAA" w:rsidRPr="00D926BB">
          <w:rPr>
            <w:rStyle w:val="Hyperlink"/>
          </w:rPr>
          <w:t>grwilkin@ucalgary.ca</w:t>
        </w:r>
      </w:hyperlink>
    </w:p>
    <w:p w14:paraId="78905B22" w14:textId="10A8B79C" w:rsidR="007C0BAA" w:rsidRPr="00BA7059" w:rsidRDefault="007C0BAA" w:rsidP="006358A7">
      <w:r w:rsidRPr="007C0BAA">
        <w:rPr>
          <w:b/>
          <w:bCs/>
        </w:rPr>
        <w:t>Course Web Page:</w:t>
      </w:r>
      <w:r>
        <w:t xml:space="preserve"> D2L though your MyUofC portal</w:t>
      </w:r>
    </w:p>
    <w:p w14:paraId="21AEDA8A" w14:textId="1D068435" w:rsidR="006358A7" w:rsidRDefault="006358A7" w:rsidP="006358A7">
      <w:r w:rsidRPr="00BA7059">
        <w:rPr>
          <w:b/>
        </w:rPr>
        <w:t>Office Hours</w:t>
      </w:r>
      <w:r w:rsidR="00792C4A" w:rsidRPr="00BA7059">
        <w:rPr>
          <w:b/>
        </w:rPr>
        <w:t xml:space="preserve"> and </w:t>
      </w:r>
      <w:r w:rsidR="00985B65">
        <w:rPr>
          <w:b/>
        </w:rPr>
        <w:t>Location/</w:t>
      </w:r>
      <w:r w:rsidR="00792C4A" w:rsidRPr="00BA7059">
        <w:rPr>
          <w:b/>
        </w:rPr>
        <w:t>Method</w:t>
      </w:r>
      <w:r w:rsidRPr="00BA7059">
        <w:t xml:space="preserve">: </w:t>
      </w:r>
      <w:r w:rsidR="00F96D8C">
        <w:t xml:space="preserve">Various in Field </w:t>
      </w:r>
    </w:p>
    <w:p w14:paraId="4DDD6966" w14:textId="7F175832" w:rsidR="0036552C" w:rsidRPr="0036552C" w:rsidRDefault="00CC64F3" w:rsidP="006358A7">
      <w:pPr>
        <w:rPr>
          <w:b/>
          <w:color w:val="000000" w:themeColor="text1"/>
        </w:rPr>
      </w:pPr>
      <w:r w:rsidRPr="002B37FB">
        <w:rPr>
          <w:b/>
          <w:color w:val="000000" w:themeColor="text1"/>
        </w:rPr>
        <w:t>Class</w:t>
      </w:r>
      <w:r>
        <w:rPr>
          <w:b/>
          <w:color w:val="000000" w:themeColor="text1"/>
        </w:rPr>
        <w:t>room</w:t>
      </w:r>
      <w:r w:rsidR="008E75D9">
        <w:rPr>
          <w:b/>
          <w:color w:val="000000" w:themeColor="text1"/>
        </w:rPr>
        <w:t xml:space="preserve"> Location, Days</w:t>
      </w:r>
      <w:r w:rsidR="0036552C">
        <w:rPr>
          <w:b/>
          <w:color w:val="000000" w:themeColor="text1"/>
        </w:rPr>
        <w:t xml:space="preserve"> and Times</w:t>
      </w:r>
      <w:r w:rsidR="0036552C" w:rsidRPr="002B37FB">
        <w:rPr>
          <w:b/>
          <w:color w:val="000000" w:themeColor="text1"/>
        </w:rPr>
        <w:t xml:space="preserve">: </w:t>
      </w:r>
      <w:r w:rsidR="00F96D8C">
        <w:t>Various in Field</w:t>
      </w:r>
    </w:p>
    <w:p w14:paraId="779C8245" w14:textId="532EAD24" w:rsidR="00BA7059" w:rsidRPr="00C955D9" w:rsidRDefault="005C4FAA" w:rsidP="00F96D8C">
      <w:pPr>
        <w:rPr>
          <w:rFonts w:ascii="Arial" w:hAnsi="Arial" w:cs="Arial"/>
          <w:bCs/>
          <w:color w:val="0070C0"/>
        </w:rPr>
      </w:pPr>
      <w:r w:rsidRPr="00BA7059">
        <w:rPr>
          <w:b/>
        </w:rPr>
        <w:t xml:space="preserve">Course Delivery: </w:t>
      </w:r>
      <w:r w:rsidR="007D182F">
        <w:rPr>
          <w:b/>
        </w:rPr>
        <w:t xml:space="preserve"> </w:t>
      </w:r>
      <w:r w:rsidR="007054D6" w:rsidRPr="007054D6">
        <w:rPr>
          <w:bCs/>
          <w:color w:val="000000" w:themeColor="text1"/>
        </w:rPr>
        <w:t>I</w:t>
      </w:r>
      <w:r w:rsidR="00F96D8C" w:rsidRPr="007054D6">
        <w:rPr>
          <w:bCs/>
          <w:color w:val="000000" w:themeColor="text1"/>
        </w:rPr>
        <w:t>n Person</w:t>
      </w:r>
    </w:p>
    <w:p w14:paraId="62B26048" w14:textId="77777777" w:rsidR="007A2C03" w:rsidRDefault="007A2C03" w:rsidP="006358A7">
      <w:pPr>
        <w:rPr>
          <w:b/>
        </w:rPr>
      </w:pPr>
    </w:p>
    <w:p w14:paraId="2316BB87" w14:textId="77777777" w:rsidR="00F96D8C" w:rsidRDefault="006358A7" w:rsidP="00F96D8C">
      <w:pPr>
        <w:rPr>
          <w:b/>
        </w:rPr>
      </w:pPr>
      <w:r w:rsidRPr="00BA7059">
        <w:rPr>
          <w:b/>
        </w:rPr>
        <w:t>Description</w:t>
      </w:r>
      <w:r w:rsidR="0071161B">
        <w:rPr>
          <w:b/>
        </w:rPr>
        <w:t xml:space="preserve"> </w:t>
      </w:r>
    </w:p>
    <w:p w14:paraId="360FA03E" w14:textId="2D90B259" w:rsidR="00F96D8C" w:rsidRPr="00222649" w:rsidRDefault="00F96D8C" w:rsidP="00F96D8C">
      <w:r w:rsidRPr="00222649">
        <w:t xml:space="preserve">This course will examine the places and spaces of authority in Irish History, from ancient Ireland to the twentieth century, in both Northern Ireland and the Republic of Ireland.  It will look at a wide variety of physical ‘places’ and examine the ways in which they were constructed as ‘spaces’ of authority.  It will show that these places and spaces are still significant and demonstrate the way in which the past and its construction is relevant today.  It will examine castles and cathedrals as places/spaces of authority but will also go beyond them to include ancient monuments, statuary, massacres, museums, urban architecture, manor houses, prisons, factories, barracks, cemeteries, public parks, memorials, courts, universities, murals, cartography, and gendered places/spaces.  The course will put these places/spaces in their specific historical contexts to indicate their meaning within Irish history and culture.  It will also show how meaning in each one can change.  This course will examine aspects such as military history, politics, geography, cultural history, gender studies, social history, economics, mythology, and religion.  </w:t>
      </w:r>
    </w:p>
    <w:p w14:paraId="3DABC366" w14:textId="108344AA" w:rsidR="006358A7" w:rsidRPr="002B37FB" w:rsidRDefault="006358A7" w:rsidP="006358A7">
      <w:pPr>
        <w:rPr>
          <w:bCs/>
          <w:color w:val="0070C0"/>
        </w:rPr>
      </w:pPr>
    </w:p>
    <w:p w14:paraId="7110623E" w14:textId="77777777" w:rsidR="004168EF" w:rsidRPr="00BA7059" w:rsidRDefault="004168EF" w:rsidP="006358A7">
      <w:pPr>
        <w:rPr>
          <w:b/>
        </w:rPr>
      </w:pPr>
    </w:p>
    <w:p w14:paraId="1B980708" w14:textId="77777777" w:rsidR="00F96D8C" w:rsidRDefault="00960DED" w:rsidP="00F96D8C">
      <w:pPr>
        <w:rPr>
          <w:b/>
        </w:rPr>
      </w:pPr>
      <w:r w:rsidRPr="00BA7059">
        <w:rPr>
          <w:b/>
        </w:rPr>
        <w:t>Learning</w:t>
      </w:r>
      <w:r w:rsidR="006358A7" w:rsidRPr="00BA7059">
        <w:rPr>
          <w:b/>
        </w:rPr>
        <w:t xml:space="preserve"> Outcomes</w:t>
      </w:r>
      <w:r w:rsidR="00BA7059">
        <w:rPr>
          <w:b/>
        </w:rPr>
        <w:t xml:space="preserve"> </w:t>
      </w:r>
    </w:p>
    <w:p w14:paraId="7D69BB86" w14:textId="2686F0E8" w:rsidR="00F96D8C" w:rsidRPr="00222649" w:rsidRDefault="00F96D8C" w:rsidP="00F96D8C">
      <w:r w:rsidRPr="00222649">
        <w:t xml:space="preserve">The goal of this course is to encourage students to think about the nature of authority, its legitimacy, creation, and maintenance though physical and intellectual constructed ‘spaces’.  Students will understand that physical places can be used for different purposes, thus making them constructed spaces with particular and specific meanings to different groups at different </w:t>
      </w:r>
      <w:r w:rsidRPr="00222649">
        <w:lastRenderedPageBreak/>
        <w:t xml:space="preserve">times.  Almost every important structure, monument, building, location, prison, cathedral, castle </w:t>
      </w:r>
      <w:r w:rsidR="00D95BAD" w:rsidRPr="00222649">
        <w:t>etc.</w:t>
      </w:r>
      <w:r w:rsidRPr="00222649">
        <w:t xml:space="preserve"> can have alternative meanings and importance to various groups at the same time and over time.  This is particularly so in Ireland where historically many groups have competed for power and authority over the island and its people.  This course will encourage students to view places as spaces that project authority historically and in their own lives.  </w:t>
      </w:r>
    </w:p>
    <w:p w14:paraId="67F69B4A" w14:textId="5C4C0AB3" w:rsidR="005F09B9" w:rsidRPr="00BA7059" w:rsidRDefault="005F09B9" w:rsidP="00F96D8C"/>
    <w:p w14:paraId="5A94E06C" w14:textId="77777777" w:rsidR="00F96D8C" w:rsidRDefault="005F09B9" w:rsidP="00F96D8C">
      <w:pPr>
        <w:rPr>
          <w:b/>
        </w:rPr>
      </w:pPr>
      <w:r w:rsidRPr="00BA7059">
        <w:rPr>
          <w:b/>
        </w:rPr>
        <w:t>Reading Material</w:t>
      </w:r>
      <w:r w:rsidR="00985B65">
        <w:rPr>
          <w:b/>
        </w:rPr>
        <w:t xml:space="preserve"> </w:t>
      </w:r>
    </w:p>
    <w:p w14:paraId="1AF8E8D7" w14:textId="7854718B" w:rsidR="00F96D8C" w:rsidRPr="00222649" w:rsidRDefault="00F96D8C" w:rsidP="00F96D8C">
      <w:pPr>
        <w:rPr>
          <w:b/>
          <w:bCs/>
        </w:rPr>
      </w:pPr>
      <w:r w:rsidRPr="00222649">
        <w:rPr>
          <w:b/>
          <w:bCs/>
        </w:rPr>
        <w:t>Required:</w:t>
      </w:r>
    </w:p>
    <w:p w14:paraId="5A09432A" w14:textId="77777777" w:rsidR="00F96D8C" w:rsidRDefault="00F96D8C" w:rsidP="00F96D8C">
      <w:pPr>
        <w:rPr>
          <w:bCs/>
        </w:rPr>
      </w:pPr>
      <w:r w:rsidRPr="006B5BF2">
        <w:rPr>
          <w:bCs/>
        </w:rPr>
        <w:t xml:space="preserve">Ranelagh, John O'Beirne. A Short History of Ireland. Cambridge: Cambridge University Press, </w:t>
      </w:r>
    </w:p>
    <w:p w14:paraId="306291E7" w14:textId="77777777" w:rsidR="00F96D8C" w:rsidRDefault="00F96D8C" w:rsidP="00F96D8C">
      <w:pPr>
        <w:ind w:firstLine="720"/>
        <w:rPr>
          <w:bCs/>
        </w:rPr>
      </w:pPr>
      <w:r w:rsidRPr="006B5BF2">
        <w:rPr>
          <w:bCs/>
        </w:rPr>
        <w:t>2012</w:t>
      </w:r>
      <w:r>
        <w:rPr>
          <w:bCs/>
        </w:rPr>
        <w:t xml:space="preserve">. </w:t>
      </w:r>
    </w:p>
    <w:p w14:paraId="5084171F" w14:textId="0A41FCF9" w:rsidR="00F96D8C" w:rsidRDefault="0050671F" w:rsidP="00D95BAD">
      <w:pPr>
        <w:ind w:left="709"/>
        <w:rPr>
          <w:bCs/>
        </w:rPr>
      </w:pPr>
      <w:hyperlink r:id="rId10" w:history="1">
        <w:r w:rsidR="00D95BAD" w:rsidRPr="00B74931">
          <w:rPr>
            <w:rStyle w:val="Hyperlink"/>
            <w:bCs/>
          </w:rPr>
          <w:t>https://ucalgary-primo.hosted.exlibrisgroup.com/permalink/f/1p0s7n7/TN_cdi_askewsholts_vlebooks_9781316089378</w:t>
        </w:r>
      </w:hyperlink>
    </w:p>
    <w:p w14:paraId="0FB1A76D" w14:textId="77777777" w:rsidR="00D95BAD" w:rsidRDefault="00D95BAD" w:rsidP="00D95BAD">
      <w:pPr>
        <w:rPr>
          <w:i/>
        </w:rPr>
      </w:pPr>
      <w:r w:rsidRPr="00307EFB">
        <w:rPr>
          <w:iCs/>
        </w:rPr>
        <w:t>Stock, Paul </w:t>
      </w:r>
      <w:r w:rsidRPr="00307EFB">
        <w:rPr>
          <w:i/>
          <w:iCs/>
        </w:rPr>
        <w:t>Introduction: history and the uses of space.</w:t>
      </w:r>
      <w:r w:rsidRPr="00307EFB">
        <w:rPr>
          <w:i/>
        </w:rPr>
        <w:t> In: Stock, Paul, (ed.) The Uses of</w:t>
      </w:r>
    </w:p>
    <w:p w14:paraId="4721A3DF" w14:textId="77777777" w:rsidR="00D95BAD" w:rsidRDefault="00D95BAD" w:rsidP="00D95BAD">
      <w:pPr>
        <w:ind w:left="720"/>
        <w:rPr>
          <w:iCs/>
        </w:rPr>
      </w:pPr>
      <w:r w:rsidRPr="00307EFB">
        <w:rPr>
          <w:i/>
        </w:rPr>
        <w:t xml:space="preserve"> Space in Early Modern History. Palgrave studies in cultural and intellectual history. </w:t>
      </w:r>
      <w:r w:rsidRPr="00307EFB">
        <w:rPr>
          <w:iCs/>
        </w:rPr>
        <w:t xml:space="preserve">Palgrave Macmillan, New York, </w:t>
      </w:r>
      <w:r>
        <w:rPr>
          <w:iCs/>
        </w:rPr>
        <w:t xml:space="preserve">2015, </w:t>
      </w:r>
      <w:r w:rsidRPr="00307EFB">
        <w:rPr>
          <w:iCs/>
        </w:rPr>
        <w:t>pp. 1-18.</w:t>
      </w:r>
    </w:p>
    <w:p w14:paraId="2D70B892" w14:textId="63B64162" w:rsidR="00D95BAD" w:rsidRPr="00222649" w:rsidRDefault="0050671F" w:rsidP="00D95BAD">
      <w:pPr>
        <w:ind w:left="720"/>
        <w:rPr>
          <w:i/>
        </w:rPr>
      </w:pPr>
      <w:hyperlink r:id="rId11" w:history="1">
        <w:r w:rsidR="00D95BAD" w:rsidRPr="00B74931">
          <w:rPr>
            <w:rStyle w:val="Hyperlink"/>
            <w:iCs/>
          </w:rPr>
          <w:t>http://eprints.lse.ac.uk/id/eprint/60218</w:t>
        </w:r>
      </w:hyperlink>
    </w:p>
    <w:p w14:paraId="79EA21DE" w14:textId="77777777" w:rsidR="00F96D8C" w:rsidRPr="00222649" w:rsidRDefault="00F96D8C" w:rsidP="00F96D8C"/>
    <w:p w14:paraId="08345D54" w14:textId="3A5B724A" w:rsidR="00F96D8C" w:rsidRPr="00842AF4" w:rsidRDefault="00F96D8C" w:rsidP="00F96D8C">
      <w:pPr>
        <w:rPr>
          <w:b/>
          <w:bCs/>
          <w:i/>
        </w:rPr>
      </w:pPr>
      <w:r w:rsidRPr="00222649">
        <w:rPr>
          <w:b/>
          <w:bCs/>
        </w:rPr>
        <w:t>Recommended:</w:t>
      </w:r>
      <w:r w:rsidRPr="00222649">
        <w:rPr>
          <w:b/>
          <w:bCs/>
          <w:i/>
        </w:rPr>
        <w:t xml:space="preserve"> </w:t>
      </w:r>
    </w:p>
    <w:p w14:paraId="5BED06A0" w14:textId="77777777" w:rsidR="00F96D8C" w:rsidRDefault="00F96D8C" w:rsidP="00F96D8C">
      <w:r w:rsidRPr="00222649">
        <w:t>Paul Johnson</w:t>
      </w:r>
      <w:r w:rsidRPr="00222649">
        <w:rPr>
          <w:i/>
        </w:rPr>
        <w:t xml:space="preserve"> Ireland: A Concise History from the Twelfth Century to the Present Day</w:t>
      </w:r>
      <w:r w:rsidRPr="00222649">
        <w:t xml:space="preserve">, </w:t>
      </w:r>
      <w:r w:rsidRPr="00E97A1A">
        <w:t>Chicago</w:t>
      </w:r>
    </w:p>
    <w:p w14:paraId="181DBC59" w14:textId="31165811" w:rsidR="00F96D8C" w:rsidRPr="003915FB" w:rsidRDefault="00F96D8C" w:rsidP="00D95BAD">
      <w:pPr>
        <w:ind w:left="720"/>
      </w:pPr>
      <w:r>
        <w:t xml:space="preserve"> </w:t>
      </w:r>
      <w:r w:rsidRPr="00E97A1A">
        <w:t>Review Press, 2014</w:t>
      </w:r>
      <w:r w:rsidRPr="00222649">
        <w:t xml:space="preserve">. ISBN: </w:t>
      </w:r>
      <w:r w:rsidRPr="00E97A1A">
        <w:t>161373252X, 9781613732526</w:t>
      </w:r>
      <w:r w:rsidRPr="00222649">
        <w:t xml:space="preserve">. </w:t>
      </w:r>
    </w:p>
    <w:p w14:paraId="789A322D" w14:textId="413D48A9" w:rsidR="00F96D8C" w:rsidRPr="00D95BAD" w:rsidRDefault="00F96D8C" w:rsidP="00F96D8C">
      <w:r w:rsidRPr="00222649">
        <w:rPr>
          <w:bCs/>
        </w:rPr>
        <w:t>Bew</w:t>
      </w:r>
      <w:r>
        <w:rPr>
          <w:bCs/>
        </w:rPr>
        <w:t>, Paul</w:t>
      </w:r>
      <w:r w:rsidRPr="00222649">
        <w:rPr>
          <w:i/>
        </w:rPr>
        <w:t xml:space="preserve"> Ireland: </w:t>
      </w:r>
      <w:r w:rsidRPr="00222649">
        <w:rPr>
          <w:bCs/>
          <w:i/>
        </w:rPr>
        <w:t>The Politics of Enmity 1789-2006</w:t>
      </w:r>
      <w:r w:rsidRPr="00222649">
        <w:t xml:space="preserve">, Oxford University Press </w:t>
      </w:r>
    </w:p>
    <w:p w14:paraId="36FE69A4" w14:textId="671955FB" w:rsidR="00F96D8C" w:rsidRDefault="00F96D8C" w:rsidP="00F96D8C">
      <w:r w:rsidRPr="00222649">
        <w:t>Foster</w:t>
      </w:r>
      <w:r>
        <w:t>, R.</w:t>
      </w:r>
      <w:r w:rsidRPr="00222649">
        <w:rPr>
          <w:i/>
        </w:rPr>
        <w:t xml:space="preserve"> Modern Ireland 1600-1972</w:t>
      </w:r>
      <w:r>
        <w:t xml:space="preserve">. </w:t>
      </w:r>
      <w:r w:rsidRPr="00222649">
        <w:t>Penguin</w:t>
      </w:r>
    </w:p>
    <w:p w14:paraId="592789CD" w14:textId="77777777" w:rsidR="00F96D8C" w:rsidRPr="00222649" w:rsidRDefault="00F96D8C" w:rsidP="00F96D8C">
      <w:r w:rsidRPr="00222649">
        <w:t>Bartlett</w:t>
      </w:r>
      <w:r>
        <w:t>,</w:t>
      </w:r>
      <w:r w:rsidRPr="00222649">
        <w:t xml:space="preserve"> Thomas</w:t>
      </w:r>
      <w:r w:rsidRPr="00222649">
        <w:rPr>
          <w:i/>
          <w:iCs/>
        </w:rPr>
        <w:t xml:space="preserve"> Ireland: A History</w:t>
      </w:r>
      <w:r>
        <w:t xml:space="preserve">. </w:t>
      </w:r>
      <w:r w:rsidRPr="00222649">
        <w:t>Cambridge University Press, 2011</w:t>
      </w:r>
    </w:p>
    <w:p w14:paraId="547DA02C" w14:textId="204F07D3" w:rsidR="006358A7" w:rsidRPr="00BA7059" w:rsidRDefault="006358A7" w:rsidP="00F96D8C">
      <w:pPr>
        <w:rPr>
          <w:b/>
        </w:rPr>
      </w:pPr>
    </w:p>
    <w:p w14:paraId="5737E527" w14:textId="613C46DD" w:rsidR="00316406" w:rsidRDefault="00031009" w:rsidP="006358A7">
      <w:pPr>
        <w:rPr>
          <w:b/>
        </w:rPr>
      </w:pPr>
      <w:r w:rsidRPr="00BA7059">
        <w:rPr>
          <w:b/>
        </w:rPr>
        <w:t>Assessment</w:t>
      </w:r>
      <w:r w:rsidR="00D02B1E" w:rsidRPr="00BA7059">
        <w:rPr>
          <w:b/>
        </w:rPr>
        <w:t xml:space="preserve"> </w:t>
      </w:r>
    </w:p>
    <w:tbl>
      <w:tblPr>
        <w:tblStyle w:val="TableGrid"/>
        <w:tblW w:w="0" w:type="auto"/>
        <w:tblLook w:val="04A0" w:firstRow="1" w:lastRow="0" w:firstColumn="1" w:lastColumn="0" w:noHBand="0" w:noVBand="1"/>
      </w:tblPr>
      <w:tblGrid>
        <w:gridCol w:w="4248"/>
        <w:gridCol w:w="2410"/>
        <w:gridCol w:w="2268"/>
      </w:tblGrid>
      <w:tr w:rsidR="0046097D" w:rsidRPr="0046097D" w14:paraId="6E6D75EA" w14:textId="77777777" w:rsidTr="00F96D8C">
        <w:tc>
          <w:tcPr>
            <w:tcW w:w="4248" w:type="dxa"/>
          </w:tcPr>
          <w:p w14:paraId="61DA461E" w14:textId="23B07866" w:rsidR="00F96D8C" w:rsidRPr="0046097D" w:rsidRDefault="00F96D8C" w:rsidP="00E802DB">
            <w:pPr>
              <w:rPr>
                <w:b/>
                <w:color w:val="000000" w:themeColor="text1"/>
              </w:rPr>
            </w:pPr>
            <w:r w:rsidRPr="0046097D">
              <w:rPr>
                <w:b/>
                <w:color w:val="000000" w:themeColor="text1"/>
              </w:rPr>
              <w:t>Method</w:t>
            </w:r>
          </w:p>
        </w:tc>
        <w:tc>
          <w:tcPr>
            <w:tcW w:w="2410" w:type="dxa"/>
          </w:tcPr>
          <w:p w14:paraId="0DC0CCE3" w14:textId="4407980D" w:rsidR="00F96D8C" w:rsidRPr="0046097D" w:rsidRDefault="00F96D8C" w:rsidP="00E802DB">
            <w:pPr>
              <w:rPr>
                <w:b/>
                <w:color w:val="000000" w:themeColor="text1"/>
              </w:rPr>
            </w:pPr>
            <w:r w:rsidRPr="0046097D">
              <w:rPr>
                <w:b/>
                <w:color w:val="000000" w:themeColor="text1"/>
              </w:rPr>
              <w:t>Due Date</w:t>
            </w:r>
          </w:p>
        </w:tc>
        <w:tc>
          <w:tcPr>
            <w:tcW w:w="2268" w:type="dxa"/>
          </w:tcPr>
          <w:p w14:paraId="3880C7BA" w14:textId="726110FF" w:rsidR="00F96D8C" w:rsidRPr="0046097D" w:rsidRDefault="00F96D8C" w:rsidP="00E802DB">
            <w:pPr>
              <w:rPr>
                <w:b/>
                <w:color w:val="000000" w:themeColor="text1"/>
              </w:rPr>
            </w:pPr>
            <w:r w:rsidRPr="0046097D">
              <w:rPr>
                <w:b/>
                <w:color w:val="000000" w:themeColor="text1"/>
              </w:rPr>
              <w:t>Weight</w:t>
            </w:r>
          </w:p>
        </w:tc>
      </w:tr>
      <w:tr w:rsidR="0046097D" w:rsidRPr="0046097D" w14:paraId="76036EBF" w14:textId="77777777" w:rsidTr="00F96D8C">
        <w:tc>
          <w:tcPr>
            <w:tcW w:w="4248" w:type="dxa"/>
          </w:tcPr>
          <w:p w14:paraId="78519641" w14:textId="7C82B420" w:rsidR="00F96D8C" w:rsidRPr="0046097D" w:rsidRDefault="00F96D8C" w:rsidP="00E802DB">
            <w:pPr>
              <w:rPr>
                <w:color w:val="000000" w:themeColor="text1"/>
              </w:rPr>
            </w:pPr>
            <w:r w:rsidRPr="0046097D">
              <w:rPr>
                <w:color w:val="000000" w:themeColor="text1"/>
              </w:rPr>
              <w:t>Outline and Bibliography</w:t>
            </w:r>
          </w:p>
        </w:tc>
        <w:tc>
          <w:tcPr>
            <w:tcW w:w="2410" w:type="dxa"/>
          </w:tcPr>
          <w:p w14:paraId="6CFE2C61" w14:textId="1308A1D1" w:rsidR="00F96D8C" w:rsidRPr="0046097D" w:rsidRDefault="00F96D8C" w:rsidP="00E802DB">
            <w:pPr>
              <w:rPr>
                <w:color w:val="000000" w:themeColor="text1"/>
              </w:rPr>
            </w:pPr>
            <w:r w:rsidRPr="0046097D">
              <w:rPr>
                <w:color w:val="000000" w:themeColor="text1"/>
              </w:rPr>
              <w:t>May 5</w:t>
            </w:r>
            <w:r w:rsidR="00842AF4" w:rsidRPr="0046097D">
              <w:rPr>
                <w:color w:val="000000" w:themeColor="text1"/>
              </w:rPr>
              <w:t>, 202</w:t>
            </w:r>
            <w:r w:rsidR="0050671F">
              <w:rPr>
                <w:color w:val="000000" w:themeColor="text1"/>
              </w:rPr>
              <w:t>4</w:t>
            </w:r>
          </w:p>
        </w:tc>
        <w:tc>
          <w:tcPr>
            <w:tcW w:w="2268" w:type="dxa"/>
          </w:tcPr>
          <w:p w14:paraId="6DF96D50" w14:textId="097739FE" w:rsidR="00F96D8C" w:rsidRPr="0046097D" w:rsidRDefault="00F96D8C" w:rsidP="00E802DB">
            <w:pPr>
              <w:rPr>
                <w:color w:val="000000" w:themeColor="text1"/>
              </w:rPr>
            </w:pPr>
            <w:r w:rsidRPr="0046097D">
              <w:rPr>
                <w:color w:val="000000" w:themeColor="text1"/>
              </w:rPr>
              <w:t>20%</w:t>
            </w:r>
          </w:p>
        </w:tc>
      </w:tr>
      <w:tr w:rsidR="0046097D" w:rsidRPr="0046097D" w14:paraId="791FEA62" w14:textId="77777777" w:rsidTr="00F96D8C">
        <w:trPr>
          <w:trHeight w:val="311"/>
        </w:trPr>
        <w:tc>
          <w:tcPr>
            <w:tcW w:w="4248" w:type="dxa"/>
          </w:tcPr>
          <w:p w14:paraId="7CBC8746" w14:textId="2D9661A8" w:rsidR="00F96D8C" w:rsidRPr="0046097D" w:rsidRDefault="00842AF4" w:rsidP="00E802DB">
            <w:pPr>
              <w:rPr>
                <w:bCs/>
                <w:color w:val="000000" w:themeColor="text1"/>
              </w:rPr>
            </w:pPr>
            <w:r w:rsidRPr="0046097D">
              <w:rPr>
                <w:bCs/>
                <w:color w:val="000000" w:themeColor="text1"/>
              </w:rPr>
              <w:t>Discussion Leads</w:t>
            </w:r>
          </w:p>
        </w:tc>
        <w:tc>
          <w:tcPr>
            <w:tcW w:w="2410" w:type="dxa"/>
          </w:tcPr>
          <w:p w14:paraId="679E8C3A" w14:textId="0237CA56" w:rsidR="00F96D8C" w:rsidRPr="0046097D" w:rsidRDefault="00842AF4" w:rsidP="00E802DB">
            <w:pPr>
              <w:rPr>
                <w:bCs/>
                <w:color w:val="000000" w:themeColor="text1"/>
              </w:rPr>
            </w:pPr>
            <w:r w:rsidRPr="0046097D">
              <w:rPr>
                <w:bCs/>
                <w:color w:val="000000" w:themeColor="text1"/>
              </w:rPr>
              <w:t>Various</w:t>
            </w:r>
          </w:p>
        </w:tc>
        <w:tc>
          <w:tcPr>
            <w:tcW w:w="2268" w:type="dxa"/>
          </w:tcPr>
          <w:p w14:paraId="48767A64" w14:textId="27B21954" w:rsidR="00F96D8C" w:rsidRPr="0046097D" w:rsidRDefault="00842AF4" w:rsidP="00E802DB">
            <w:pPr>
              <w:rPr>
                <w:bCs/>
                <w:color w:val="000000" w:themeColor="text1"/>
              </w:rPr>
            </w:pPr>
            <w:r w:rsidRPr="0046097D">
              <w:rPr>
                <w:bCs/>
                <w:color w:val="000000" w:themeColor="text1"/>
              </w:rPr>
              <w:t>25%</w:t>
            </w:r>
          </w:p>
        </w:tc>
      </w:tr>
      <w:tr w:rsidR="0046097D" w:rsidRPr="0046097D" w14:paraId="56D42586" w14:textId="77777777" w:rsidTr="00F96D8C">
        <w:trPr>
          <w:trHeight w:val="241"/>
        </w:trPr>
        <w:tc>
          <w:tcPr>
            <w:tcW w:w="4248" w:type="dxa"/>
          </w:tcPr>
          <w:p w14:paraId="586FBADE" w14:textId="01ED1720" w:rsidR="00F96D8C" w:rsidRPr="0046097D" w:rsidRDefault="00842AF4" w:rsidP="00E802DB">
            <w:pPr>
              <w:rPr>
                <w:color w:val="000000" w:themeColor="text1"/>
              </w:rPr>
            </w:pPr>
            <w:r w:rsidRPr="0046097D">
              <w:rPr>
                <w:color w:val="000000" w:themeColor="text1"/>
              </w:rPr>
              <w:t>Term Paper</w:t>
            </w:r>
          </w:p>
        </w:tc>
        <w:tc>
          <w:tcPr>
            <w:tcW w:w="2410" w:type="dxa"/>
          </w:tcPr>
          <w:p w14:paraId="5160CDDC" w14:textId="75D6F46B" w:rsidR="00F96D8C" w:rsidRPr="0046097D" w:rsidRDefault="00842AF4" w:rsidP="00E802DB">
            <w:pPr>
              <w:rPr>
                <w:color w:val="000000" w:themeColor="text1"/>
              </w:rPr>
            </w:pPr>
            <w:r w:rsidRPr="0046097D">
              <w:rPr>
                <w:color w:val="000000" w:themeColor="text1"/>
              </w:rPr>
              <w:t>June 21, 202</w:t>
            </w:r>
            <w:r w:rsidR="0050671F">
              <w:rPr>
                <w:color w:val="000000" w:themeColor="text1"/>
              </w:rPr>
              <w:t>4</w:t>
            </w:r>
          </w:p>
        </w:tc>
        <w:tc>
          <w:tcPr>
            <w:tcW w:w="2268" w:type="dxa"/>
          </w:tcPr>
          <w:p w14:paraId="09C64A64" w14:textId="25E1BF36" w:rsidR="00F96D8C" w:rsidRPr="0046097D" w:rsidRDefault="00842AF4" w:rsidP="00E802DB">
            <w:pPr>
              <w:rPr>
                <w:color w:val="000000" w:themeColor="text1"/>
              </w:rPr>
            </w:pPr>
            <w:r w:rsidRPr="0046097D">
              <w:rPr>
                <w:color w:val="000000" w:themeColor="text1"/>
              </w:rPr>
              <w:t>45%</w:t>
            </w:r>
          </w:p>
        </w:tc>
      </w:tr>
      <w:tr w:rsidR="00842AF4" w:rsidRPr="0046097D" w14:paraId="7CDFCC95" w14:textId="77777777" w:rsidTr="00F96D8C">
        <w:trPr>
          <w:trHeight w:val="241"/>
        </w:trPr>
        <w:tc>
          <w:tcPr>
            <w:tcW w:w="4248" w:type="dxa"/>
          </w:tcPr>
          <w:p w14:paraId="04142336" w14:textId="3D47A40A" w:rsidR="00842AF4" w:rsidRPr="0046097D" w:rsidRDefault="00842AF4" w:rsidP="00E802DB">
            <w:pPr>
              <w:rPr>
                <w:color w:val="000000" w:themeColor="text1"/>
              </w:rPr>
            </w:pPr>
            <w:r w:rsidRPr="0046097D">
              <w:rPr>
                <w:color w:val="000000" w:themeColor="text1"/>
              </w:rPr>
              <w:t>Participation/ Contribution</w:t>
            </w:r>
          </w:p>
        </w:tc>
        <w:tc>
          <w:tcPr>
            <w:tcW w:w="2410" w:type="dxa"/>
          </w:tcPr>
          <w:p w14:paraId="13978F35" w14:textId="2358E89A" w:rsidR="00842AF4" w:rsidRPr="0046097D" w:rsidRDefault="00842AF4" w:rsidP="00E802DB">
            <w:pPr>
              <w:rPr>
                <w:color w:val="000000" w:themeColor="text1"/>
              </w:rPr>
            </w:pPr>
            <w:r w:rsidRPr="0046097D">
              <w:rPr>
                <w:color w:val="000000" w:themeColor="text1"/>
              </w:rPr>
              <w:t>Ongoing</w:t>
            </w:r>
          </w:p>
        </w:tc>
        <w:tc>
          <w:tcPr>
            <w:tcW w:w="2268" w:type="dxa"/>
          </w:tcPr>
          <w:p w14:paraId="385DADC2" w14:textId="56A449E7" w:rsidR="00842AF4" w:rsidRPr="0046097D" w:rsidRDefault="00842AF4" w:rsidP="00E802DB">
            <w:pPr>
              <w:rPr>
                <w:color w:val="000000" w:themeColor="text1"/>
              </w:rPr>
            </w:pPr>
            <w:r w:rsidRPr="0046097D">
              <w:rPr>
                <w:color w:val="000000" w:themeColor="text1"/>
              </w:rPr>
              <w:t>10%</w:t>
            </w:r>
          </w:p>
        </w:tc>
      </w:tr>
    </w:tbl>
    <w:p w14:paraId="092D70DF" w14:textId="77777777" w:rsidR="004168EF" w:rsidRPr="00BA7059" w:rsidRDefault="004168EF" w:rsidP="00E802DB">
      <w:pPr>
        <w:rPr>
          <w:b/>
        </w:rPr>
      </w:pPr>
    </w:p>
    <w:p w14:paraId="28575B6F" w14:textId="60777F26" w:rsidR="00842AF4" w:rsidRDefault="00BA7059" w:rsidP="00842AF4">
      <w:pPr>
        <w:widowControl/>
        <w:rPr>
          <w:b/>
        </w:rPr>
      </w:pPr>
      <w:r>
        <w:rPr>
          <w:b/>
        </w:rPr>
        <w:t>Grading Policies</w:t>
      </w:r>
      <w:r w:rsidR="00985B65">
        <w:rPr>
          <w:b/>
        </w:rPr>
        <w:t xml:space="preserve"> </w:t>
      </w:r>
    </w:p>
    <w:p w14:paraId="043F1A96" w14:textId="173D5E4D" w:rsidR="00842AF4" w:rsidRDefault="00842AF4" w:rsidP="00842AF4">
      <w:pPr>
        <w:widowControl/>
        <w:rPr>
          <w:rFonts w:eastAsiaTheme="minorHAnsi"/>
          <w:lang w:eastAsia="en-US"/>
        </w:rPr>
      </w:pPr>
      <w:r>
        <w:rPr>
          <w:rFonts w:eastAsiaTheme="minorHAnsi"/>
          <w:lang w:eastAsia="en-US"/>
        </w:rPr>
        <w:t>Grading will be assessed as percentages for each assignment and examination. Late papers and</w:t>
      </w:r>
    </w:p>
    <w:p w14:paraId="03EBA657" w14:textId="240F2896" w:rsidR="00842AF4" w:rsidRDefault="00842AF4" w:rsidP="00842AF4">
      <w:pPr>
        <w:widowControl/>
        <w:rPr>
          <w:rFonts w:eastAsiaTheme="minorHAnsi"/>
          <w:lang w:eastAsia="en-US"/>
        </w:rPr>
      </w:pPr>
      <w:r>
        <w:rPr>
          <w:rFonts w:eastAsiaTheme="minorHAnsi"/>
          <w:lang w:eastAsia="en-US"/>
        </w:rPr>
        <w:t xml:space="preserve">examinations may be assessed a </w:t>
      </w:r>
      <w:r w:rsidR="005E2B57">
        <w:rPr>
          <w:rFonts w:eastAsiaTheme="minorHAnsi"/>
          <w:lang w:eastAsia="en-US"/>
        </w:rPr>
        <w:t>3% penalty</w:t>
      </w:r>
      <w:r>
        <w:rPr>
          <w:rFonts w:eastAsiaTheme="minorHAnsi"/>
          <w:lang w:eastAsia="en-US"/>
        </w:rPr>
        <w:t xml:space="preserve"> for every day that they are late, including weekends</w:t>
      </w:r>
    </w:p>
    <w:p w14:paraId="025913C7" w14:textId="5B5DA189" w:rsidR="00842AF4" w:rsidRDefault="00842AF4" w:rsidP="00842AF4">
      <w:pPr>
        <w:widowControl/>
        <w:rPr>
          <w:rFonts w:eastAsiaTheme="minorHAnsi"/>
          <w:lang w:eastAsia="en-US"/>
        </w:rPr>
      </w:pPr>
      <w:r>
        <w:rPr>
          <w:rFonts w:eastAsiaTheme="minorHAnsi"/>
          <w:lang w:eastAsia="en-US"/>
        </w:rPr>
        <w:t>and holidays. All assignments and exams are to be placed in the Dropbox</w:t>
      </w:r>
    </w:p>
    <w:p w14:paraId="2E58674D" w14:textId="77777777" w:rsidR="00842AF4" w:rsidRDefault="00842AF4" w:rsidP="00842AF4">
      <w:pPr>
        <w:widowControl/>
        <w:rPr>
          <w:rFonts w:eastAsiaTheme="minorHAnsi"/>
          <w:lang w:eastAsia="en-US"/>
        </w:rPr>
      </w:pPr>
      <w:r>
        <w:rPr>
          <w:rFonts w:eastAsiaTheme="minorHAnsi"/>
          <w:lang w:eastAsia="en-US"/>
        </w:rPr>
        <w:t>on the course D2L. If you wish to know more about your grade and how you can improve for</w:t>
      </w:r>
    </w:p>
    <w:p w14:paraId="107FBCAF" w14:textId="2A1A56BB" w:rsidR="00842AF4" w:rsidRDefault="00842AF4" w:rsidP="00842AF4">
      <w:pPr>
        <w:widowControl/>
        <w:rPr>
          <w:rFonts w:eastAsiaTheme="minorHAnsi"/>
          <w:lang w:eastAsia="en-US"/>
        </w:rPr>
      </w:pPr>
      <w:r>
        <w:rPr>
          <w:rFonts w:eastAsiaTheme="minorHAnsi"/>
          <w:lang w:eastAsia="en-US"/>
        </w:rPr>
        <w:t>later assignments/exams, please see the instructor.</w:t>
      </w:r>
    </w:p>
    <w:p w14:paraId="13460265" w14:textId="77777777" w:rsidR="00454188" w:rsidRDefault="00454188" w:rsidP="00842AF4">
      <w:pPr>
        <w:widowControl/>
        <w:rPr>
          <w:rFonts w:eastAsiaTheme="minorHAnsi"/>
          <w:lang w:eastAsia="en-US"/>
        </w:rPr>
      </w:pPr>
    </w:p>
    <w:p w14:paraId="0F76498A" w14:textId="77777777" w:rsidR="00842AF4" w:rsidRDefault="00842AF4" w:rsidP="00842AF4">
      <w:pPr>
        <w:widowControl/>
        <w:rPr>
          <w:rFonts w:eastAsiaTheme="minorHAnsi"/>
          <w:lang w:eastAsia="en-US"/>
        </w:rPr>
      </w:pPr>
      <w:r>
        <w:rPr>
          <w:rFonts w:eastAsiaTheme="minorHAnsi"/>
          <w:lang w:eastAsia="en-US"/>
        </w:rPr>
        <w:t>Generally, ‘make-up’ work will not be offered, though students can apply to defer exams or term</w:t>
      </w:r>
    </w:p>
    <w:p w14:paraId="6BB7837A" w14:textId="77777777" w:rsidR="00842AF4" w:rsidRDefault="00842AF4" w:rsidP="00842AF4">
      <w:pPr>
        <w:rPr>
          <w:rFonts w:eastAsiaTheme="minorHAnsi"/>
          <w:lang w:eastAsia="en-US"/>
        </w:rPr>
      </w:pPr>
      <w:r>
        <w:rPr>
          <w:rFonts w:eastAsiaTheme="minorHAnsi"/>
          <w:lang w:eastAsia="en-US"/>
        </w:rPr>
        <w:t>work.</w:t>
      </w:r>
    </w:p>
    <w:p w14:paraId="65BE8C37" w14:textId="77777777" w:rsidR="00842AF4" w:rsidRDefault="00842AF4" w:rsidP="00842AF4">
      <w:pPr>
        <w:rPr>
          <w:rFonts w:eastAsiaTheme="minorHAnsi"/>
          <w:lang w:eastAsia="en-US"/>
        </w:rPr>
      </w:pPr>
    </w:p>
    <w:p w14:paraId="1C905B13" w14:textId="77777777" w:rsidR="003F684C" w:rsidRDefault="005F09B9" w:rsidP="003F684C">
      <w:pPr>
        <w:rPr>
          <w:b/>
        </w:rPr>
      </w:pPr>
      <w:r w:rsidRPr="00BA7059">
        <w:rPr>
          <w:b/>
        </w:rPr>
        <w:t>Details on Methods of Assessment</w:t>
      </w:r>
      <w:r w:rsidR="00985B65">
        <w:rPr>
          <w:b/>
        </w:rPr>
        <w:t xml:space="preserve"> </w:t>
      </w:r>
    </w:p>
    <w:p w14:paraId="728169D7" w14:textId="54148898" w:rsidR="005E2B57" w:rsidRPr="00937B19" w:rsidRDefault="003F684C" w:rsidP="005E2B57">
      <w:r w:rsidRPr="00222649">
        <w:t xml:space="preserve">The assignments in the course are designed to balance between written work, oral presentations, and exchanges with other students.  </w:t>
      </w:r>
      <w:r w:rsidRPr="00222649">
        <w:rPr>
          <w:lang w:val="en-GB"/>
        </w:rPr>
        <w:t xml:space="preserve">Assignments will </w:t>
      </w:r>
      <w:r w:rsidR="00C75FA6">
        <w:rPr>
          <w:lang w:val="en-GB"/>
        </w:rPr>
        <w:t xml:space="preserve">generally </w:t>
      </w:r>
      <w:r w:rsidRPr="00222649">
        <w:rPr>
          <w:lang w:val="en-GB"/>
        </w:rPr>
        <w:t>build upon each other so that the skills developed in one assignment will be employed in the next</w:t>
      </w:r>
      <w:r w:rsidR="005E2B57">
        <w:t xml:space="preserve">.  </w:t>
      </w:r>
      <w:r w:rsidR="005E2B57" w:rsidRPr="00937B19">
        <w:t xml:space="preserve">Note: It is the student's responsibility to keep a copy of each submitted assignment. </w:t>
      </w:r>
      <w:r w:rsidR="005E2B57">
        <w:t xml:space="preserve"> It </w:t>
      </w:r>
      <w:r w:rsidR="005E2B57" w:rsidRPr="00937B19">
        <w:t xml:space="preserve">is the student’s responsibility to </w:t>
      </w:r>
      <w:r w:rsidR="005E2B57" w:rsidRPr="00937B19">
        <w:lastRenderedPageBreak/>
        <w:t xml:space="preserve">ensure that the correct copy of the assignment is submitted. </w:t>
      </w:r>
      <w:r w:rsidR="005E2B57">
        <w:t>Please include</w:t>
      </w:r>
      <w:r w:rsidR="005E2B57" w:rsidRPr="00937B19">
        <w:t xml:space="preserve"> the version date or version number in your file name </w:t>
      </w:r>
      <w:r w:rsidR="005E2B57">
        <w:t xml:space="preserve">as this </w:t>
      </w:r>
      <w:r w:rsidR="005E2B57" w:rsidRPr="00937B19">
        <w:t xml:space="preserve">may help avoid submitting the wrong version of </w:t>
      </w:r>
      <w:r w:rsidR="005E2B57">
        <w:t>the</w:t>
      </w:r>
      <w:r w:rsidR="005E2B57" w:rsidRPr="00937B19">
        <w:t xml:space="preserve"> written assignments</w:t>
      </w:r>
      <w:r w:rsidR="005E2B57">
        <w:t xml:space="preserve">.  </w:t>
      </w:r>
    </w:p>
    <w:p w14:paraId="6068798A" w14:textId="77777777" w:rsidR="003F684C" w:rsidRPr="00222649" w:rsidRDefault="003F684C" w:rsidP="003F684C"/>
    <w:p w14:paraId="230B84C4" w14:textId="77777777" w:rsidR="003F684C" w:rsidRPr="00222649" w:rsidRDefault="003F684C" w:rsidP="003F684C">
      <w:pPr>
        <w:ind w:firstLine="720"/>
      </w:pPr>
      <w:r w:rsidRPr="00222649">
        <w:rPr>
          <w:b/>
        </w:rPr>
        <w:t>Outline and Annotated Bibliography</w:t>
      </w:r>
    </w:p>
    <w:p w14:paraId="0BF120AF" w14:textId="0D9CB08E" w:rsidR="003F684C" w:rsidRPr="00222649" w:rsidRDefault="003F684C" w:rsidP="003F684C">
      <w:pPr>
        <w:tabs>
          <w:tab w:val="left" w:pos="720"/>
        </w:tabs>
        <w:ind w:left="709" w:hanging="709"/>
      </w:pPr>
      <w:r w:rsidRPr="00222649">
        <w:tab/>
        <w:t xml:space="preserve">This assignment will encourage students to think about their larger term paper before they leave and get feedback throughout the trip.  Students should provide (in </w:t>
      </w:r>
      <w:r w:rsidR="0053259E">
        <w:t>any</w:t>
      </w:r>
      <w:r w:rsidRPr="00222649">
        <w:t xml:space="preserve"> format) a detailed outline, thesis, and structure of the essay proposed, and list at least ten academic sources (books, articles, films, websites etc.) providing a sentence or two of how the sources will support and connect to the term paper.  </w:t>
      </w:r>
    </w:p>
    <w:p w14:paraId="3C7F8602" w14:textId="77777777" w:rsidR="003F684C" w:rsidRPr="00222649" w:rsidRDefault="003F684C" w:rsidP="003F684C">
      <w:pPr>
        <w:ind w:left="720"/>
        <w:rPr>
          <w:b/>
        </w:rPr>
      </w:pPr>
      <w:r w:rsidRPr="00222649">
        <w:rPr>
          <w:b/>
        </w:rPr>
        <w:t>Date: May 5</w:t>
      </w:r>
    </w:p>
    <w:p w14:paraId="0344C98E" w14:textId="77777777" w:rsidR="003F684C" w:rsidRPr="00222649" w:rsidRDefault="003F684C" w:rsidP="003F684C">
      <w:pPr>
        <w:ind w:left="720"/>
        <w:rPr>
          <w:b/>
        </w:rPr>
      </w:pPr>
      <w:r w:rsidRPr="00222649">
        <w:rPr>
          <w:b/>
        </w:rPr>
        <w:t>Value: 20%</w:t>
      </w:r>
    </w:p>
    <w:p w14:paraId="00F5035D" w14:textId="77777777" w:rsidR="003F684C" w:rsidRPr="00222649" w:rsidRDefault="003F684C" w:rsidP="003F684C">
      <w:pPr>
        <w:ind w:left="720"/>
      </w:pPr>
    </w:p>
    <w:p w14:paraId="528EB1CC" w14:textId="77777777" w:rsidR="003F684C" w:rsidRPr="00222649" w:rsidRDefault="003F684C" w:rsidP="003F684C">
      <w:pPr>
        <w:tabs>
          <w:tab w:val="left" w:pos="720"/>
        </w:tabs>
        <w:ind w:left="2160" w:hanging="1440"/>
        <w:rPr>
          <w:b/>
        </w:rPr>
      </w:pPr>
      <w:r w:rsidRPr="00222649">
        <w:rPr>
          <w:b/>
        </w:rPr>
        <w:t xml:space="preserve">Discussion Leads </w:t>
      </w:r>
    </w:p>
    <w:p w14:paraId="4747B39F" w14:textId="77777777" w:rsidR="003F684C" w:rsidRPr="00222649" w:rsidRDefault="003F684C" w:rsidP="003F684C">
      <w:pPr>
        <w:ind w:left="720"/>
      </w:pPr>
      <w:r w:rsidRPr="00222649">
        <w:t xml:space="preserve">Students will choose a topic from a list to be provided of events, people, and ideas and lead a discussion physically at a significant and relevant site in Ireland and posted on D2L for the class to examine.  </w:t>
      </w:r>
    </w:p>
    <w:p w14:paraId="24C2C3AA" w14:textId="77777777" w:rsidR="003F684C" w:rsidRPr="00222649" w:rsidRDefault="003F684C" w:rsidP="003F684C">
      <w:pPr>
        <w:ind w:left="720"/>
        <w:rPr>
          <w:b/>
        </w:rPr>
      </w:pPr>
      <w:r w:rsidRPr="00222649">
        <w:rPr>
          <w:b/>
        </w:rPr>
        <w:t>Date:  Various Dates During the Programme</w:t>
      </w:r>
    </w:p>
    <w:p w14:paraId="5ED90F9F" w14:textId="77777777" w:rsidR="003F684C" w:rsidRPr="00222649" w:rsidRDefault="003F684C" w:rsidP="003F684C">
      <w:pPr>
        <w:ind w:left="720"/>
      </w:pPr>
      <w:r w:rsidRPr="00222649">
        <w:rPr>
          <w:b/>
        </w:rPr>
        <w:t>Value: 25%</w:t>
      </w:r>
    </w:p>
    <w:p w14:paraId="48392FD0" w14:textId="77777777" w:rsidR="003F684C" w:rsidRPr="00222649" w:rsidRDefault="003F684C" w:rsidP="003F684C">
      <w:pPr>
        <w:ind w:left="720"/>
      </w:pPr>
    </w:p>
    <w:p w14:paraId="54EC0B5D" w14:textId="77777777" w:rsidR="003F684C" w:rsidRPr="00222649" w:rsidRDefault="003F684C" w:rsidP="003F684C">
      <w:pPr>
        <w:ind w:left="709"/>
        <w:rPr>
          <w:b/>
        </w:rPr>
      </w:pPr>
      <w:r w:rsidRPr="00222649">
        <w:rPr>
          <w:b/>
        </w:rPr>
        <w:t>Term Paper</w:t>
      </w:r>
    </w:p>
    <w:p w14:paraId="7E7CCF97" w14:textId="10B64A99" w:rsidR="003F684C" w:rsidRPr="00222649" w:rsidRDefault="003F684C" w:rsidP="003F684C">
      <w:pPr>
        <w:ind w:left="720"/>
      </w:pPr>
      <w:r w:rsidRPr="00222649">
        <w:t>Students will be asked to write a 12-15 page (</w:t>
      </w:r>
      <w:r w:rsidR="00454188">
        <w:t xml:space="preserve">c. </w:t>
      </w:r>
      <w:r w:rsidRPr="00222649">
        <w:t xml:space="preserve">3800+ word) paper that will examine one of the themes discussed during the programme and provide a synthesis of the course based around a central thesis of their choice.  </w:t>
      </w:r>
    </w:p>
    <w:p w14:paraId="1534C7C6" w14:textId="77777777" w:rsidR="003F684C" w:rsidRPr="00222649" w:rsidRDefault="003F684C" w:rsidP="003F684C">
      <w:pPr>
        <w:ind w:left="720"/>
        <w:rPr>
          <w:b/>
        </w:rPr>
      </w:pPr>
      <w:r w:rsidRPr="00222649">
        <w:rPr>
          <w:b/>
        </w:rPr>
        <w:t>Due:  June 21</w:t>
      </w:r>
    </w:p>
    <w:p w14:paraId="24E0AA68" w14:textId="77777777" w:rsidR="003F684C" w:rsidRPr="00222649" w:rsidRDefault="003F684C" w:rsidP="003F684C">
      <w:pPr>
        <w:ind w:left="720"/>
      </w:pPr>
      <w:r w:rsidRPr="00222649">
        <w:rPr>
          <w:b/>
        </w:rPr>
        <w:t>Value:</w:t>
      </w:r>
      <w:r w:rsidRPr="00222649">
        <w:t xml:space="preserve"> </w:t>
      </w:r>
      <w:r w:rsidRPr="00222649">
        <w:rPr>
          <w:b/>
        </w:rPr>
        <w:t>45%</w:t>
      </w:r>
    </w:p>
    <w:p w14:paraId="59F62974" w14:textId="77777777" w:rsidR="003F684C" w:rsidRPr="00222649" w:rsidRDefault="003F684C" w:rsidP="003F684C">
      <w:pPr>
        <w:ind w:left="720"/>
      </w:pPr>
    </w:p>
    <w:p w14:paraId="53A12087" w14:textId="77777777" w:rsidR="003F684C" w:rsidRPr="00222649" w:rsidRDefault="003F684C" w:rsidP="003F684C">
      <w:pPr>
        <w:ind w:left="720"/>
        <w:rPr>
          <w:b/>
          <w:bCs/>
        </w:rPr>
      </w:pPr>
      <w:r w:rsidRPr="00222649">
        <w:rPr>
          <w:b/>
          <w:bCs/>
        </w:rPr>
        <w:t>Participation: 10%</w:t>
      </w:r>
    </w:p>
    <w:p w14:paraId="6769CFA1" w14:textId="77777777" w:rsidR="003F684C" w:rsidRPr="00222649" w:rsidRDefault="003F684C" w:rsidP="003F684C">
      <w:pPr>
        <w:ind w:left="720"/>
        <w:rPr>
          <w:bCs/>
        </w:rPr>
      </w:pPr>
      <w:r w:rsidRPr="00222649">
        <w:rPr>
          <w:bCs/>
        </w:rPr>
        <w:t xml:space="preserve">We will develop our participation policy during pre-departure sessions, but in general, participation requires attendance on field trips, promptness, attentiveness, and contribution to discussions in useful ways, such as thoughtful and respectful questions and observations, and note taking. </w:t>
      </w:r>
    </w:p>
    <w:p w14:paraId="7B2FF689" w14:textId="77777777" w:rsidR="005F09B9" w:rsidRPr="00BA7059" w:rsidRDefault="005F09B9" w:rsidP="00397B0A">
      <w:pPr>
        <w:rPr>
          <w:b/>
          <w:lang w:val="en-CA"/>
        </w:rPr>
      </w:pPr>
    </w:p>
    <w:p w14:paraId="3C317166" w14:textId="044B3BF4" w:rsidR="00C75FA6" w:rsidRDefault="00134502" w:rsidP="00C75FA6">
      <w:pPr>
        <w:rPr>
          <w:rFonts w:ascii="Arial" w:hAnsi="Arial" w:cs="Arial"/>
          <w:bCs/>
          <w:color w:val="0070C0"/>
          <w:lang w:val="en-CA"/>
        </w:rPr>
      </w:pPr>
      <w:r w:rsidRPr="00BA7059">
        <w:rPr>
          <w:b/>
          <w:bCs/>
          <w:lang w:val="en-CA"/>
        </w:rPr>
        <w:t xml:space="preserve">Learning Technologies Requirements </w:t>
      </w:r>
    </w:p>
    <w:p w14:paraId="53DF0937" w14:textId="77C29A7E" w:rsidR="00134502" w:rsidRPr="0046097D" w:rsidRDefault="00AB5B4C" w:rsidP="003B7A6F">
      <w:pPr>
        <w:rPr>
          <w:bCs/>
          <w:color w:val="000000" w:themeColor="text1"/>
          <w:lang w:val="en-CA"/>
        </w:rPr>
      </w:pPr>
      <w:r w:rsidRPr="0046097D">
        <w:rPr>
          <w:bCs/>
          <w:color w:val="000000" w:themeColor="text1"/>
          <w:lang w:val="en-CA"/>
        </w:rPr>
        <w:t>T</w:t>
      </w:r>
      <w:r w:rsidR="00134502" w:rsidRPr="0046097D">
        <w:rPr>
          <w:bCs/>
          <w:color w:val="000000" w:themeColor="text1"/>
          <w:lang w:val="en-CA"/>
        </w:rPr>
        <w:t xml:space="preserve">here is a D2L site for this course </w:t>
      </w:r>
      <w:r w:rsidR="00BA7059" w:rsidRPr="0046097D">
        <w:rPr>
          <w:bCs/>
          <w:color w:val="000000" w:themeColor="text1"/>
          <w:lang w:val="en-CA"/>
        </w:rPr>
        <w:t>that</w:t>
      </w:r>
      <w:r w:rsidR="00134502" w:rsidRPr="0046097D">
        <w:rPr>
          <w:bCs/>
          <w:color w:val="000000" w:themeColor="text1"/>
          <w:lang w:val="en-CA"/>
        </w:rPr>
        <w:t xml:space="preserve"> contains relevan</w:t>
      </w:r>
      <w:r w:rsidR="00BA7059" w:rsidRPr="0046097D">
        <w:rPr>
          <w:bCs/>
          <w:color w:val="000000" w:themeColor="text1"/>
          <w:lang w:val="en-CA"/>
        </w:rPr>
        <w:t xml:space="preserve">t class resources and materials. </w:t>
      </w:r>
      <w:r w:rsidR="00134502" w:rsidRPr="0046097D">
        <w:rPr>
          <w:bCs/>
          <w:color w:val="000000" w:themeColor="text1"/>
          <w:lang w:val="en-CA"/>
        </w:rPr>
        <w:t xml:space="preserve">In order to </w:t>
      </w:r>
      <w:r w:rsidR="00D76789" w:rsidRPr="0046097D">
        <w:rPr>
          <w:bCs/>
          <w:color w:val="000000" w:themeColor="text1"/>
          <w:lang w:val="en-CA"/>
        </w:rPr>
        <w:t xml:space="preserve">engage </w:t>
      </w:r>
      <w:r w:rsidR="00134502" w:rsidRPr="0046097D">
        <w:rPr>
          <w:bCs/>
          <w:color w:val="000000" w:themeColor="text1"/>
          <w:lang w:val="en-CA"/>
        </w:rPr>
        <w:t xml:space="preserve">successfully in learning experiences </w:t>
      </w:r>
      <w:r w:rsidR="00223C85" w:rsidRPr="0046097D">
        <w:rPr>
          <w:bCs/>
          <w:color w:val="000000" w:themeColor="text1"/>
          <w:lang w:val="en-CA"/>
        </w:rPr>
        <w:t>in this class</w:t>
      </w:r>
      <w:r w:rsidR="00134502" w:rsidRPr="0046097D">
        <w:rPr>
          <w:bCs/>
          <w:color w:val="000000" w:themeColor="text1"/>
          <w:lang w:val="en-CA"/>
        </w:rPr>
        <w:t>, students will need</w:t>
      </w:r>
      <w:r w:rsidR="005443FA" w:rsidRPr="0046097D">
        <w:rPr>
          <w:bCs/>
          <w:color w:val="000000" w:themeColor="text1"/>
          <w:lang w:val="en-CA"/>
        </w:rPr>
        <w:t xml:space="preserve"> </w:t>
      </w:r>
      <w:r w:rsidR="00134502" w:rsidRPr="0046097D">
        <w:rPr>
          <w:bCs/>
          <w:color w:val="000000" w:themeColor="text1"/>
          <w:lang w:val="en-CA"/>
        </w:rPr>
        <w:t xml:space="preserve">reliable access to the following technology: </w:t>
      </w:r>
      <w:r w:rsidRPr="0046097D">
        <w:rPr>
          <w:bCs/>
          <w:color w:val="000000" w:themeColor="text1"/>
          <w:lang w:val="en-CA"/>
        </w:rPr>
        <w:t xml:space="preserve">internet access and </w:t>
      </w:r>
      <w:r w:rsidR="00223C85" w:rsidRPr="0046097D">
        <w:rPr>
          <w:bCs/>
          <w:color w:val="000000" w:themeColor="text1"/>
          <w:lang w:val="en-CA"/>
        </w:rPr>
        <w:t>a</w:t>
      </w:r>
      <w:r w:rsidR="00134502" w:rsidRPr="0046097D">
        <w:rPr>
          <w:bCs/>
          <w:color w:val="000000" w:themeColor="text1"/>
          <w:lang w:val="en-CA"/>
        </w:rPr>
        <w:t xml:space="preserve"> computer</w:t>
      </w:r>
      <w:r w:rsidR="00223C85" w:rsidRPr="0046097D">
        <w:rPr>
          <w:bCs/>
          <w:color w:val="000000" w:themeColor="text1"/>
          <w:lang w:val="en-CA"/>
        </w:rPr>
        <w:t>, tablet, or other device to access D2L</w:t>
      </w:r>
      <w:r w:rsidR="00C75FA6" w:rsidRPr="0046097D">
        <w:rPr>
          <w:bCs/>
          <w:color w:val="000000" w:themeColor="text1"/>
          <w:lang w:val="en-CA"/>
        </w:rPr>
        <w:t>.</w:t>
      </w:r>
    </w:p>
    <w:p w14:paraId="2E8E956A" w14:textId="77777777" w:rsidR="00316406" w:rsidRDefault="00316406" w:rsidP="0067458F">
      <w:pPr>
        <w:jc w:val="both"/>
        <w:rPr>
          <w:b/>
        </w:rPr>
      </w:pPr>
    </w:p>
    <w:p w14:paraId="7D35107B" w14:textId="3A8A6758" w:rsidR="00C75FA6" w:rsidRPr="00143ED7" w:rsidRDefault="0067458F" w:rsidP="00C75FA6">
      <w:pPr>
        <w:jc w:val="both"/>
        <w:rPr>
          <w:rFonts w:ascii="Arial" w:hAnsi="Arial" w:cs="Arial"/>
          <w:color w:val="0070C0"/>
        </w:rPr>
      </w:pPr>
      <w:bookmarkStart w:id="0" w:name="_Hlk77081517"/>
      <w:r w:rsidRPr="00DE19E8">
        <w:rPr>
          <w:b/>
        </w:rPr>
        <w:t>Inclusiveness, Accommodation,</w:t>
      </w:r>
      <w:r w:rsidR="007426DF">
        <w:rPr>
          <w:b/>
        </w:rPr>
        <w:t xml:space="preserve"> Privacy</w:t>
      </w:r>
      <w:bookmarkEnd w:id="0"/>
      <w:r w:rsidR="00394BFA">
        <w:rPr>
          <w:b/>
        </w:rPr>
        <w:t xml:space="preserve">, and Conduct </w:t>
      </w:r>
    </w:p>
    <w:p w14:paraId="4A531217" w14:textId="0379DDB6" w:rsidR="00F266A3" w:rsidRPr="0046097D" w:rsidRDefault="0067458F" w:rsidP="00EC2C88">
      <w:pPr>
        <w:jc w:val="both"/>
        <w:rPr>
          <w:color w:val="000000" w:themeColor="text1"/>
        </w:rPr>
      </w:pPr>
      <w:r w:rsidRPr="0046097D">
        <w:rPr>
          <w:color w:val="000000" w:themeColor="text1"/>
        </w:rPr>
        <w:t xml:space="preserve">I am committed to creating an inclusive learning environment for all registered students. If you have conditions or circumstances that require </w:t>
      </w:r>
      <w:r w:rsidR="003C7E2E" w:rsidRPr="0046097D">
        <w:rPr>
          <w:color w:val="000000" w:themeColor="text1"/>
        </w:rPr>
        <w:t xml:space="preserve">a formal </w:t>
      </w:r>
      <w:r w:rsidRPr="0046097D">
        <w:rPr>
          <w:color w:val="000000" w:themeColor="text1"/>
        </w:rPr>
        <w:t xml:space="preserve">accommodation, </w:t>
      </w:r>
      <w:r w:rsidR="00026B03" w:rsidRPr="0046097D">
        <w:rPr>
          <w:color w:val="000000" w:themeColor="text1"/>
        </w:rPr>
        <w:t xml:space="preserve">be sure to </w:t>
      </w:r>
      <w:r w:rsidR="00F54750" w:rsidRPr="0046097D">
        <w:rPr>
          <w:color w:val="000000" w:themeColor="text1"/>
        </w:rPr>
        <w:t>register with</w:t>
      </w:r>
      <w:r w:rsidRPr="0046097D">
        <w:rPr>
          <w:color w:val="000000" w:themeColor="text1"/>
        </w:rPr>
        <w:t xml:space="preserve"> Student Accessibility Services</w:t>
      </w:r>
      <w:r w:rsidR="00961490" w:rsidRPr="0046097D">
        <w:rPr>
          <w:color w:val="000000" w:themeColor="text1"/>
        </w:rPr>
        <w:t xml:space="preserve"> as soon as possible</w:t>
      </w:r>
      <w:r w:rsidR="00EC2C88" w:rsidRPr="0046097D">
        <w:rPr>
          <w:color w:val="000000" w:themeColor="text1"/>
        </w:rPr>
        <w:t xml:space="preserve">. </w:t>
      </w:r>
      <w:r w:rsidRPr="0046097D">
        <w:rPr>
          <w:color w:val="000000" w:themeColor="text1"/>
        </w:rPr>
        <w:t xml:space="preserve">Such </w:t>
      </w:r>
      <w:r w:rsidR="003C7E2E" w:rsidRPr="0046097D">
        <w:rPr>
          <w:color w:val="000000" w:themeColor="text1"/>
        </w:rPr>
        <w:t>circumstances</w:t>
      </w:r>
      <w:r w:rsidRPr="0046097D">
        <w:rPr>
          <w:color w:val="000000" w:themeColor="text1"/>
        </w:rPr>
        <w:t xml:space="preserve"> may include disability</w:t>
      </w:r>
      <w:r w:rsidR="00865E7A" w:rsidRPr="0046097D">
        <w:rPr>
          <w:color w:val="000000" w:themeColor="text1"/>
        </w:rPr>
        <w:t xml:space="preserve"> or illness whether temporary or permanent, visible or invisible</w:t>
      </w:r>
      <w:r w:rsidR="00F54750" w:rsidRPr="0046097D">
        <w:rPr>
          <w:color w:val="000000" w:themeColor="text1"/>
        </w:rPr>
        <w:t>.</w:t>
      </w:r>
    </w:p>
    <w:p w14:paraId="71CE1AD2" w14:textId="0AE7E639" w:rsidR="007426DF" w:rsidRPr="0046097D" w:rsidRDefault="007426DF" w:rsidP="00EC2C88">
      <w:pPr>
        <w:jc w:val="both"/>
        <w:rPr>
          <w:color w:val="000000" w:themeColor="text1"/>
        </w:rPr>
      </w:pPr>
    </w:p>
    <w:p w14:paraId="01916DDF" w14:textId="5FC2E7C7" w:rsidR="00394BFA" w:rsidRPr="0046097D" w:rsidRDefault="00F266A3" w:rsidP="00EC2C88">
      <w:pPr>
        <w:jc w:val="both"/>
        <w:rPr>
          <w:color w:val="000000" w:themeColor="text1"/>
        </w:rPr>
      </w:pPr>
      <w:r w:rsidRPr="0046097D">
        <w:rPr>
          <w:color w:val="000000" w:themeColor="text1"/>
        </w:rPr>
        <w:t xml:space="preserve">To protect the privacy of others, students may not record in any format any activity that occurs within the </w:t>
      </w:r>
      <w:r w:rsidR="00050497" w:rsidRPr="0046097D">
        <w:rPr>
          <w:color w:val="000000" w:themeColor="text1"/>
        </w:rPr>
        <w:t>programme or in the classroom</w:t>
      </w:r>
      <w:r w:rsidRPr="0046097D">
        <w:rPr>
          <w:color w:val="000000" w:themeColor="text1"/>
        </w:rPr>
        <w:t xml:space="preserve">. </w:t>
      </w:r>
      <w:r w:rsidR="00E1501F" w:rsidRPr="0046097D">
        <w:rPr>
          <w:color w:val="000000" w:themeColor="text1"/>
        </w:rPr>
        <w:t xml:space="preserve">As outlined in the </w:t>
      </w:r>
      <w:hyperlink r:id="rId12" w:history="1">
        <w:r w:rsidR="00E1501F" w:rsidRPr="0046097D">
          <w:rPr>
            <w:rStyle w:val="Hyperlink"/>
            <w:color w:val="000000" w:themeColor="text1"/>
          </w:rPr>
          <w:t>University Calendar</w:t>
        </w:r>
      </w:hyperlink>
      <w:r w:rsidR="00E1501F" w:rsidRPr="0046097D">
        <w:rPr>
          <w:color w:val="000000" w:themeColor="text1"/>
        </w:rPr>
        <w:t>, p</w:t>
      </w:r>
      <w:r w:rsidRPr="0046097D">
        <w:rPr>
          <w:color w:val="000000" w:themeColor="text1"/>
        </w:rPr>
        <w:t xml:space="preserve">ermission to sound-record lectures will only be given to students registered with Student Accessibility Services. </w:t>
      </w:r>
    </w:p>
    <w:p w14:paraId="7B71C815" w14:textId="77777777" w:rsidR="0067458F" w:rsidRPr="0046097D" w:rsidRDefault="0067458F" w:rsidP="0067458F">
      <w:pPr>
        <w:rPr>
          <w:color w:val="000000" w:themeColor="text1"/>
          <w:highlight w:val="yellow"/>
        </w:rPr>
      </w:pPr>
    </w:p>
    <w:p w14:paraId="0B9C3113" w14:textId="05744AAA" w:rsidR="0067458F" w:rsidRPr="0046097D" w:rsidRDefault="0067458F" w:rsidP="0067458F">
      <w:pPr>
        <w:rPr>
          <w:color w:val="000000" w:themeColor="text1"/>
        </w:rPr>
      </w:pPr>
      <w:r w:rsidRPr="0046097D">
        <w:rPr>
          <w:color w:val="000000" w:themeColor="text1"/>
        </w:rPr>
        <w:t xml:space="preserve">Part of creating an inclusive learning environment involves respecting your classmates. In meeting any university’s mandate of encouraging free and open inquiry, we will occasionally discuss topics about which you might be uncomfortable or have a set viewpoint. In such situations, it is essential that we understand that others </w:t>
      </w:r>
      <w:r w:rsidR="00013D18" w:rsidRPr="0046097D">
        <w:rPr>
          <w:color w:val="000000" w:themeColor="text1"/>
        </w:rPr>
        <w:t>have</w:t>
      </w:r>
      <w:r w:rsidRPr="0046097D">
        <w:rPr>
          <w:color w:val="000000" w:themeColor="text1"/>
        </w:rPr>
        <w:t xml:space="preserve"> different experiences and perspectives, and that listening respectfully to and showing tolerance toward opposing viewpoints is part of the process of emerging as active, engaged citizens.</w:t>
      </w:r>
    </w:p>
    <w:p w14:paraId="1447EBCE" w14:textId="77777777" w:rsidR="005F09B9" w:rsidRPr="00BA7059" w:rsidRDefault="005F09B9" w:rsidP="006358A7">
      <w:pPr>
        <w:rPr>
          <w:rFonts w:ascii="Arial" w:hAnsi="Arial" w:cs="Arial"/>
          <w:color w:val="0070C0"/>
        </w:rPr>
      </w:pPr>
    </w:p>
    <w:p w14:paraId="7DA8CFB4" w14:textId="5A0A0091" w:rsidR="0046097D" w:rsidRPr="0046097D" w:rsidRDefault="00960DED" w:rsidP="0046097D">
      <w:pPr>
        <w:tabs>
          <w:tab w:val="left" w:pos="-144"/>
          <w:tab w:val="center" w:pos="4680"/>
        </w:tabs>
        <w:ind w:right="-360"/>
        <w:rPr>
          <w:b/>
        </w:rPr>
      </w:pPr>
      <w:r w:rsidRPr="00BA7059">
        <w:rPr>
          <w:b/>
        </w:rPr>
        <w:t>S</w:t>
      </w:r>
      <w:r w:rsidR="00D916F4" w:rsidRPr="00BA7059">
        <w:rPr>
          <w:b/>
        </w:rPr>
        <w:t>chedule</w:t>
      </w:r>
      <w:r w:rsidR="00A8274D">
        <w:rPr>
          <w:b/>
        </w:rPr>
        <w:t xml:space="preserve"> </w:t>
      </w:r>
    </w:p>
    <w:p w14:paraId="3911B60B" w14:textId="5BB676FF" w:rsidR="009E0B26" w:rsidRDefault="009E0B26" w:rsidP="009E0B26">
      <w:r w:rsidRPr="009E0B26">
        <w:t>Please refer to our course/travel itinerary on our D2L site.</w:t>
      </w:r>
    </w:p>
    <w:p w14:paraId="01FFF0E1" w14:textId="77777777" w:rsidR="009E0B26" w:rsidRPr="009E0B26" w:rsidRDefault="009E0B26" w:rsidP="009E0B26"/>
    <w:p w14:paraId="72C7DB9B" w14:textId="05ECECCF" w:rsidR="00903787" w:rsidRDefault="001539B4" w:rsidP="0046097D">
      <w:pPr>
        <w:rPr>
          <w:b/>
          <w:bCs/>
        </w:rPr>
      </w:pPr>
      <w:r w:rsidRPr="001539B4">
        <w:rPr>
          <w:b/>
          <w:bCs/>
        </w:rPr>
        <w:t>There is no registrar-scheduled final exam.</w:t>
      </w:r>
    </w:p>
    <w:p w14:paraId="6D457040" w14:textId="77777777" w:rsidR="0046097D" w:rsidRPr="00A71A6D" w:rsidRDefault="0046097D" w:rsidP="0046097D"/>
    <w:p w14:paraId="1975CBD5" w14:textId="77777777" w:rsidR="0046097D" w:rsidRDefault="0046097D" w:rsidP="006358A7">
      <w:pPr>
        <w:rPr>
          <w:b/>
          <w:bCs/>
        </w:rPr>
      </w:pPr>
    </w:p>
    <w:p w14:paraId="2FBFDD92" w14:textId="77777777" w:rsidR="001950CB" w:rsidRDefault="001950CB" w:rsidP="001950CB">
      <w:pPr>
        <w:jc w:val="center"/>
        <w:rPr>
          <w:b/>
        </w:rPr>
      </w:pPr>
      <w:r>
        <w:rPr>
          <w:b/>
          <w:bCs/>
        </w:rPr>
        <w:t>T</w:t>
      </w:r>
      <w:r>
        <w:rPr>
          <w:b/>
        </w:rPr>
        <w:t>HE FOLLOWING INFORMATION APPEARS ON ALL DEPARTMENT OF HISTORY COURSE OUTLINES</w:t>
      </w:r>
    </w:p>
    <w:p w14:paraId="6EA40393" w14:textId="77777777" w:rsidR="001950CB" w:rsidRDefault="001950CB" w:rsidP="001950CB">
      <w:pPr>
        <w:keepNext/>
        <w:rPr>
          <w:b/>
        </w:rPr>
      </w:pPr>
    </w:p>
    <w:p w14:paraId="252A20EE" w14:textId="77777777" w:rsidR="001950CB" w:rsidRPr="00BA7059" w:rsidRDefault="001950CB" w:rsidP="001950CB">
      <w:pPr>
        <w:keepNext/>
        <w:rPr>
          <w:b/>
        </w:rPr>
      </w:pPr>
      <w:r w:rsidRPr="00BA7059">
        <w:rPr>
          <w:b/>
        </w:rPr>
        <w:t>Departmental Grading System</w:t>
      </w:r>
    </w:p>
    <w:p w14:paraId="5C3E0E1F" w14:textId="77777777" w:rsidR="001950CB" w:rsidRDefault="001950CB" w:rsidP="001950CB">
      <w:bookmarkStart w:id="1" w:name="_Hlk109208514"/>
      <w:r w:rsidRPr="00BA7059">
        <w:t>The following percentage-to-letter grade conversion scheme is used in all Canadian Studies, History, and Latin American Studies courses, except for HTST 200</w:t>
      </w:r>
      <w:r>
        <w:t xml:space="preserve">.  See the university grading system in the calendar: </w:t>
      </w:r>
      <w:hyperlink r:id="rId13" w:history="1">
        <w:r w:rsidRPr="006043A6">
          <w:rPr>
            <w:rStyle w:val="Hyperlink"/>
          </w:rPr>
          <w:t>https://www.ucalgary.ca/pubs/calendar/current/f-1-1.html</w:t>
        </w:r>
      </w:hyperlink>
      <w:r>
        <w:t>.</w:t>
      </w:r>
    </w:p>
    <w:bookmarkEnd w:id="1"/>
    <w:p w14:paraId="53B095ED" w14:textId="77777777" w:rsidR="001950CB" w:rsidRPr="00BA7059" w:rsidRDefault="001950CB" w:rsidP="001950CB">
      <w:pPr>
        <w:rPr>
          <w:b/>
        </w:rPr>
      </w:pPr>
    </w:p>
    <w:tbl>
      <w:tblPr>
        <w:tblStyle w:val="TableGrid"/>
        <w:tblW w:w="0" w:type="auto"/>
        <w:tblLook w:val="04A0" w:firstRow="1" w:lastRow="0" w:firstColumn="1" w:lastColumn="0" w:noHBand="0" w:noVBand="1"/>
      </w:tblPr>
      <w:tblGrid>
        <w:gridCol w:w="1619"/>
        <w:gridCol w:w="1067"/>
        <w:gridCol w:w="1845"/>
        <w:gridCol w:w="4819"/>
      </w:tblGrid>
      <w:tr w:rsidR="001950CB" w:rsidRPr="00BA7059" w14:paraId="1365F60D" w14:textId="77777777" w:rsidTr="000537C4">
        <w:trPr>
          <w:cantSplit/>
          <w:tblHeader/>
        </w:trPr>
        <w:tc>
          <w:tcPr>
            <w:tcW w:w="1619" w:type="dxa"/>
          </w:tcPr>
          <w:p w14:paraId="387476B2" w14:textId="77777777" w:rsidR="001950CB" w:rsidRPr="00BA7059" w:rsidRDefault="001950CB" w:rsidP="000537C4">
            <w:pPr>
              <w:widowControl/>
              <w:autoSpaceDE/>
              <w:autoSpaceDN/>
              <w:adjustRightInd/>
              <w:jc w:val="center"/>
              <w:rPr>
                <w:rFonts w:eastAsia="Times New Roman"/>
                <w:b/>
                <w:lang w:eastAsia="en-US"/>
              </w:rPr>
            </w:pPr>
            <w:r w:rsidRPr="00BA7059">
              <w:rPr>
                <w:rFonts w:eastAsia="Times New Roman"/>
                <w:b/>
                <w:lang w:eastAsia="en-US"/>
              </w:rPr>
              <w:t>Percentage</w:t>
            </w:r>
          </w:p>
        </w:tc>
        <w:tc>
          <w:tcPr>
            <w:tcW w:w="1067" w:type="dxa"/>
          </w:tcPr>
          <w:p w14:paraId="66FA5D15" w14:textId="77777777" w:rsidR="001950CB" w:rsidRPr="00BA7059" w:rsidRDefault="001950CB" w:rsidP="000537C4">
            <w:pPr>
              <w:widowControl/>
              <w:autoSpaceDE/>
              <w:autoSpaceDN/>
              <w:adjustRightInd/>
              <w:jc w:val="center"/>
              <w:rPr>
                <w:rFonts w:eastAsia="Times New Roman"/>
                <w:b/>
                <w:lang w:eastAsia="en-US"/>
              </w:rPr>
            </w:pPr>
            <w:r w:rsidRPr="00BA7059">
              <w:rPr>
                <w:rFonts w:eastAsia="Times New Roman"/>
                <w:b/>
                <w:lang w:eastAsia="en-US"/>
              </w:rPr>
              <w:t>Letter Grade</w:t>
            </w:r>
          </w:p>
        </w:tc>
        <w:tc>
          <w:tcPr>
            <w:tcW w:w="1845" w:type="dxa"/>
          </w:tcPr>
          <w:p w14:paraId="2DD1E757" w14:textId="77777777" w:rsidR="001950CB" w:rsidRPr="00BA7059" w:rsidRDefault="001950CB" w:rsidP="000537C4">
            <w:pPr>
              <w:widowControl/>
              <w:autoSpaceDE/>
              <w:autoSpaceDN/>
              <w:adjustRightInd/>
              <w:jc w:val="center"/>
              <w:rPr>
                <w:rFonts w:eastAsia="Times New Roman"/>
                <w:b/>
                <w:lang w:eastAsia="en-US"/>
              </w:rPr>
            </w:pPr>
            <w:r w:rsidRPr="00BA7059">
              <w:rPr>
                <w:rFonts w:eastAsia="Times New Roman"/>
                <w:b/>
                <w:lang w:eastAsia="en-US"/>
              </w:rPr>
              <w:t>Grade Point Value</w:t>
            </w:r>
          </w:p>
        </w:tc>
        <w:tc>
          <w:tcPr>
            <w:tcW w:w="4819" w:type="dxa"/>
          </w:tcPr>
          <w:p w14:paraId="68A4BFFB" w14:textId="77777777" w:rsidR="001950CB" w:rsidRPr="00BA7059" w:rsidRDefault="001950CB" w:rsidP="000537C4">
            <w:pPr>
              <w:widowControl/>
              <w:autoSpaceDE/>
              <w:autoSpaceDN/>
              <w:adjustRightInd/>
              <w:jc w:val="center"/>
              <w:rPr>
                <w:rFonts w:eastAsia="Times New Roman"/>
                <w:b/>
                <w:lang w:eastAsia="en-US"/>
              </w:rPr>
            </w:pPr>
            <w:r w:rsidRPr="00BA7059">
              <w:rPr>
                <w:rFonts w:eastAsia="Times New Roman"/>
                <w:b/>
                <w:lang w:eastAsia="en-US"/>
              </w:rPr>
              <w:t>Description</w:t>
            </w:r>
          </w:p>
        </w:tc>
      </w:tr>
      <w:tr w:rsidR="001950CB" w:rsidRPr="00BA7059" w14:paraId="1A3CF392" w14:textId="77777777" w:rsidTr="000537C4">
        <w:trPr>
          <w:cantSplit/>
        </w:trPr>
        <w:tc>
          <w:tcPr>
            <w:tcW w:w="1619" w:type="dxa"/>
          </w:tcPr>
          <w:p w14:paraId="499CF97C"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90-100</w:t>
            </w:r>
          </w:p>
        </w:tc>
        <w:tc>
          <w:tcPr>
            <w:tcW w:w="1067" w:type="dxa"/>
          </w:tcPr>
          <w:p w14:paraId="261BDCB2"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A+</w:t>
            </w:r>
          </w:p>
        </w:tc>
        <w:tc>
          <w:tcPr>
            <w:tcW w:w="1845" w:type="dxa"/>
          </w:tcPr>
          <w:p w14:paraId="15EE598E"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4.00</w:t>
            </w:r>
          </w:p>
        </w:tc>
        <w:tc>
          <w:tcPr>
            <w:tcW w:w="4819" w:type="dxa"/>
          </w:tcPr>
          <w:p w14:paraId="73EE5B99"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Outstanding performance</w:t>
            </w:r>
          </w:p>
        </w:tc>
      </w:tr>
      <w:tr w:rsidR="001950CB" w:rsidRPr="00BA7059" w14:paraId="01F17D1A" w14:textId="77777777" w:rsidTr="000537C4">
        <w:trPr>
          <w:cantSplit/>
        </w:trPr>
        <w:tc>
          <w:tcPr>
            <w:tcW w:w="1619" w:type="dxa"/>
          </w:tcPr>
          <w:p w14:paraId="2F58EC9A"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85-89</w:t>
            </w:r>
          </w:p>
        </w:tc>
        <w:tc>
          <w:tcPr>
            <w:tcW w:w="1067" w:type="dxa"/>
          </w:tcPr>
          <w:p w14:paraId="01798B25"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A</w:t>
            </w:r>
          </w:p>
        </w:tc>
        <w:tc>
          <w:tcPr>
            <w:tcW w:w="1845" w:type="dxa"/>
          </w:tcPr>
          <w:p w14:paraId="2EDBAA96"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4.00</w:t>
            </w:r>
          </w:p>
        </w:tc>
        <w:tc>
          <w:tcPr>
            <w:tcW w:w="4819" w:type="dxa"/>
          </w:tcPr>
          <w:p w14:paraId="3C2C1369"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Excellent performance</w:t>
            </w:r>
          </w:p>
        </w:tc>
      </w:tr>
      <w:tr w:rsidR="001950CB" w:rsidRPr="00BA7059" w14:paraId="1F5B66A7" w14:textId="77777777" w:rsidTr="000537C4">
        <w:trPr>
          <w:cantSplit/>
        </w:trPr>
        <w:tc>
          <w:tcPr>
            <w:tcW w:w="1619" w:type="dxa"/>
          </w:tcPr>
          <w:p w14:paraId="2858F110"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80-84</w:t>
            </w:r>
          </w:p>
        </w:tc>
        <w:tc>
          <w:tcPr>
            <w:tcW w:w="1067" w:type="dxa"/>
          </w:tcPr>
          <w:p w14:paraId="7724C981"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A-</w:t>
            </w:r>
          </w:p>
        </w:tc>
        <w:tc>
          <w:tcPr>
            <w:tcW w:w="1845" w:type="dxa"/>
          </w:tcPr>
          <w:p w14:paraId="595350C6"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3.70</w:t>
            </w:r>
          </w:p>
        </w:tc>
        <w:tc>
          <w:tcPr>
            <w:tcW w:w="4819" w:type="dxa"/>
          </w:tcPr>
          <w:p w14:paraId="6C4E9FF5"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Approaching excellent performance</w:t>
            </w:r>
          </w:p>
        </w:tc>
      </w:tr>
      <w:tr w:rsidR="001950CB" w:rsidRPr="00BA7059" w14:paraId="54D07C3A" w14:textId="77777777" w:rsidTr="000537C4">
        <w:trPr>
          <w:cantSplit/>
        </w:trPr>
        <w:tc>
          <w:tcPr>
            <w:tcW w:w="1619" w:type="dxa"/>
          </w:tcPr>
          <w:p w14:paraId="107DD6D5"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77-79</w:t>
            </w:r>
          </w:p>
        </w:tc>
        <w:tc>
          <w:tcPr>
            <w:tcW w:w="1067" w:type="dxa"/>
          </w:tcPr>
          <w:p w14:paraId="46A76BC4"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B+</w:t>
            </w:r>
          </w:p>
        </w:tc>
        <w:tc>
          <w:tcPr>
            <w:tcW w:w="1845" w:type="dxa"/>
          </w:tcPr>
          <w:p w14:paraId="1FDE157F"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3.30</w:t>
            </w:r>
          </w:p>
        </w:tc>
        <w:tc>
          <w:tcPr>
            <w:tcW w:w="4819" w:type="dxa"/>
          </w:tcPr>
          <w:p w14:paraId="25EB7411"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Exceeding good performance</w:t>
            </w:r>
          </w:p>
        </w:tc>
      </w:tr>
      <w:tr w:rsidR="001950CB" w:rsidRPr="00BA7059" w14:paraId="50FE93FF" w14:textId="77777777" w:rsidTr="000537C4">
        <w:trPr>
          <w:cantSplit/>
        </w:trPr>
        <w:tc>
          <w:tcPr>
            <w:tcW w:w="1619" w:type="dxa"/>
          </w:tcPr>
          <w:p w14:paraId="5D3AA4EB"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73-76</w:t>
            </w:r>
          </w:p>
        </w:tc>
        <w:tc>
          <w:tcPr>
            <w:tcW w:w="1067" w:type="dxa"/>
          </w:tcPr>
          <w:p w14:paraId="2DD5C222"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B</w:t>
            </w:r>
          </w:p>
        </w:tc>
        <w:tc>
          <w:tcPr>
            <w:tcW w:w="1845" w:type="dxa"/>
          </w:tcPr>
          <w:p w14:paraId="7C85685E"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3.00</w:t>
            </w:r>
          </w:p>
        </w:tc>
        <w:tc>
          <w:tcPr>
            <w:tcW w:w="4819" w:type="dxa"/>
          </w:tcPr>
          <w:p w14:paraId="2501CC12"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Good performance</w:t>
            </w:r>
          </w:p>
        </w:tc>
      </w:tr>
      <w:tr w:rsidR="001950CB" w:rsidRPr="00BA7059" w14:paraId="030BFC42" w14:textId="77777777" w:rsidTr="000537C4">
        <w:trPr>
          <w:cantSplit/>
        </w:trPr>
        <w:tc>
          <w:tcPr>
            <w:tcW w:w="1619" w:type="dxa"/>
          </w:tcPr>
          <w:p w14:paraId="51808616"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70-72</w:t>
            </w:r>
          </w:p>
        </w:tc>
        <w:tc>
          <w:tcPr>
            <w:tcW w:w="1067" w:type="dxa"/>
          </w:tcPr>
          <w:p w14:paraId="4AA4DBC6"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B-</w:t>
            </w:r>
          </w:p>
        </w:tc>
        <w:tc>
          <w:tcPr>
            <w:tcW w:w="1845" w:type="dxa"/>
          </w:tcPr>
          <w:p w14:paraId="31901658"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2.70</w:t>
            </w:r>
          </w:p>
        </w:tc>
        <w:tc>
          <w:tcPr>
            <w:tcW w:w="4819" w:type="dxa"/>
          </w:tcPr>
          <w:p w14:paraId="7FB5F885"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Approaching good performance</w:t>
            </w:r>
          </w:p>
        </w:tc>
      </w:tr>
      <w:tr w:rsidR="001950CB" w:rsidRPr="00BA7059" w14:paraId="32ECF104" w14:textId="77777777" w:rsidTr="000537C4">
        <w:trPr>
          <w:cantSplit/>
        </w:trPr>
        <w:tc>
          <w:tcPr>
            <w:tcW w:w="1619" w:type="dxa"/>
          </w:tcPr>
          <w:p w14:paraId="7DD91FDA"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67-69</w:t>
            </w:r>
          </w:p>
        </w:tc>
        <w:tc>
          <w:tcPr>
            <w:tcW w:w="1067" w:type="dxa"/>
          </w:tcPr>
          <w:p w14:paraId="0DA7F107"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C+</w:t>
            </w:r>
          </w:p>
        </w:tc>
        <w:tc>
          <w:tcPr>
            <w:tcW w:w="1845" w:type="dxa"/>
          </w:tcPr>
          <w:p w14:paraId="7ED64346"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2.30</w:t>
            </w:r>
          </w:p>
        </w:tc>
        <w:tc>
          <w:tcPr>
            <w:tcW w:w="4819" w:type="dxa"/>
          </w:tcPr>
          <w:p w14:paraId="7CDFDB4C"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Exceeding satisfactory performance</w:t>
            </w:r>
          </w:p>
        </w:tc>
      </w:tr>
      <w:tr w:rsidR="001950CB" w:rsidRPr="00BA7059" w14:paraId="1B74112F" w14:textId="77777777" w:rsidTr="000537C4">
        <w:trPr>
          <w:cantSplit/>
        </w:trPr>
        <w:tc>
          <w:tcPr>
            <w:tcW w:w="1619" w:type="dxa"/>
          </w:tcPr>
          <w:p w14:paraId="46E6EA6A"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63-66</w:t>
            </w:r>
          </w:p>
        </w:tc>
        <w:tc>
          <w:tcPr>
            <w:tcW w:w="1067" w:type="dxa"/>
          </w:tcPr>
          <w:p w14:paraId="23BBB4AF"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C</w:t>
            </w:r>
          </w:p>
        </w:tc>
        <w:tc>
          <w:tcPr>
            <w:tcW w:w="1845" w:type="dxa"/>
          </w:tcPr>
          <w:p w14:paraId="730F5EAF"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2.00</w:t>
            </w:r>
          </w:p>
        </w:tc>
        <w:tc>
          <w:tcPr>
            <w:tcW w:w="4819" w:type="dxa"/>
          </w:tcPr>
          <w:p w14:paraId="2FB059DC"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Satisfactory performance</w:t>
            </w:r>
          </w:p>
        </w:tc>
      </w:tr>
      <w:tr w:rsidR="001950CB" w:rsidRPr="00BA7059" w14:paraId="7CD9C68C" w14:textId="77777777" w:rsidTr="000537C4">
        <w:trPr>
          <w:cantSplit/>
        </w:trPr>
        <w:tc>
          <w:tcPr>
            <w:tcW w:w="1619" w:type="dxa"/>
          </w:tcPr>
          <w:p w14:paraId="4EC3FDC2"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60-62</w:t>
            </w:r>
          </w:p>
        </w:tc>
        <w:tc>
          <w:tcPr>
            <w:tcW w:w="1067" w:type="dxa"/>
          </w:tcPr>
          <w:p w14:paraId="4FEAD278"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C-</w:t>
            </w:r>
          </w:p>
        </w:tc>
        <w:tc>
          <w:tcPr>
            <w:tcW w:w="1845" w:type="dxa"/>
          </w:tcPr>
          <w:p w14:paraId="7E991B02"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1.70</w:t>
            </w:r>
          </w:p>
        </w:tc>
        <w:tc>
          <w:tcPr>
            <w:tcW w:w="4819" w:type="dxa"/>
          </w:tcPr>
          <w:p w14:paraId="52AE1EA0"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Approaching satisfactory performance.</w:t>
            </w:r>
          </w:p>
        </w:tc>
      </w:tr>
      <w:tr w:rsidR="001950CB" w:rsidRPr="00BA7059" w14:paraId="7E150B5B" w14:textId="77777777" w:rsidTr="000537C4">
        <w:trPr>
          <w:cantSplit/>
        </w:trPr>
        <w:tc>
          <w:tcPr>
            <w:tcW w:w="1619" w:type="dxa"/>
          </w:tcPr>
          <w:p w14:paraId="49A2F4AD"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56-59</w:t>
            </w:r>
          </w:p>
        </w:tc>
        <w:tc>
          <w:tcPr>
            <w:tcW w:w="1067" w:type="dxa"/>
          </w:tcPr>
          <w:p w14:paraId="0B916898"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D+</w:t>
            </w:r>
          </w:p>
        </w:tc>
        <w:tc>
          <w:tcPr>
            <w:tcW w:w="1845" w:type="dxa"/>
          </w:tcPr>
          <w:p w14:paraId="6466373B"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1.30</w:t>
            </w:r>
          </w:p>
        </w:tc>
        <w:tc>
          <w:tcPr>
            <w:tcW w:w="4819" w:type="dxa"/>
          </w:tcPr>
          <w:p w14:paraId="4061AC20"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Marginal pass. Insufficient preparation for subsequent courses in the same subject</w:t>
            </w:r>
          </w:p>
        </w:tc>
      </w:tr>
      <w:tr w:rsidR="001950CB" w:rsidRPr="00BA7059" w14:paraId="26D68AFA" w14:textId="77777777" w:rsidTr="000537C4">
        <w:trPr>
          <w:cantSplit/>
        </w:trPr>
        <w:tc>
          <w:tcPr>
            <w:tcW w:w="1619" w:type="dxa"/>
          </w:tcPr>
          <w:p w14:paraId="0861AA0F"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50-55</w:t>
            </w:r>
          </w:p>
        </w:tc>
        <w:tc>
          <w:tcPr>
            <w:tcW w:w="1067" w:type="dxa"/>
          </w:tcPr>
          <w:p w14:paraId="25C5A8A3"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D</w:t>
            </w:r>
          </w:p>
        </w:tc>
        <w:tc>
          <w:tcPr>
            <w:tcW w:w="1845" w:type="dxa"/>
          </w:tcPr>
          <w:p w14:paraId="2AE34EFB"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1.00</w:t>
            </w:r>
          </w:p>
        </w:tc>
        <w:tc>
          <w:tcPr>
            <w:tcW w:w="4819" w:type="dxa"/>
          </w:tcPr>
          <w:p w14:paraId="6D59BDE2"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Minimal Pass. Insufficient preparation for subsequent courses in the same subject.</w:t>
            </w:r>
          </w:p>
        </w:tc>
      </w:tr>
      <w:tr w:rsidR="001950CB" w:rsidRPr="00BA7059" w14:paraId="7DEB4EA1" w14:textId="77777777" w:rsidTr="000537C4">
        <w:trPr>
          <w:cantSplit/>
        </w:trPr>
        <w:tc>
          <w:tcPr>
            <w:tcW w:w="1619" w:type="dxa"/>
          </w:tcPr>
          <w:p w14:paraId="0F9E66AD"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0-49</w:t>
            </w:r>
          </w:p>
        </w:tc>
        <w:tc>
          <w:tcPr>
            <w:tcW w:w="1067" w:type="dxa"/>
          </w:tcPr>
          <w:p w14:paraId="4AD5A3C2"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F</w:t>
            </w:r>
          </w:p>
        </w:tc>
        <w:tc>
          <w:tcPr>
            <w:tcW w:w="1845" w:type="dxa"/>
          </w:tcPr>
          <w:p w14:paraId="00F82A10" w14:textId="77777777" w:rsidR="001950CB" w:rsidRPr="00BA7059" w:rsidRDefault="001950CB" w:rsidP="000537C4">
            <w:pPr>
              <w:widowControl/>
              <w:autoSpaceDE/>
              <w:autoSpaceDN/>
              <w:adjustRightInd/>
              <w:jc w:val="center"/>
              <w:rPr>
                <w:rFonts w:eastAsia="Times New Roman"/>
                <w:lang w:eastAsia="en-US"/>
              </w:rPr>
            </w:pPr>
            <w:r w:rsidRPr="00BA7059">
              <w:rPr>
                <w:rFonts w:eastAsia="Times New Roman"/>
                <w:lang w:eastAsia="en-US"/>
              </w:rPr>
              <w:t>0</w:t>
            </w:r>
          </w:p>
        </w:tc>
        <w:tc>
          <w:tcPr>
            <w:tcW w:w="4819" w:type="dxa"/>
          </w:tcPr>
          <w:p w14:paraId="4B726075" w14:textId="77777777" w:rsidR="001950CB" w:rsidRPr="00BA7059" w:rsidRDefault="001950CB" w:rsidP="000537C4">
            <w:pPr>
              <w:widowControl/>
              <w:autoSpaceDE/>
              <w:autoSpaceDN/>
              <w:adjustRightInd/>
              <w:rPr>
                <w:rFonts w:eastAsia="Times New Roman"/>
                <w:lang w:eastAsia="en-US"/>
              </w:rPr>
            </w:pPr>
            <w:r w:rsidRPr="00BA7059">
              <w:rPr>
                <w:rFonts w:eastAsia="Times New Roman"/>
                <w:lang w:eastAsia="en-US"/>
              </w:rPr>
              <w:t>Failure. Did not meet course requirements.</w:t>
            </w:r>
          </w:p>
        </w:tc>
      </w:tr>
    </w:tbl>
    <w:p w14:paraId="473471E5" w14:textId="77777777" w:rsidR="001950CB" w:rsidRDefault="001950CB" w:rsidP="001950CB">
      <w:pPr>
        <w:rPr>
          <w:b/>
        </w:rPr>
      </w:pPr>
      <w:bookmarkStart w:id="2" w:name="_Hlk14877444"/>
      <w:bookmarkStart w:id="3" w:name="_Hlk46132249"/>
    </w:p>
    <w:p w14:paraId="42023E53" w14:textId="77777777" w:rsidR="001950CB" w:rsidRPr="00D75015" w:rsidRDefault="001950CB" w:rsidP="001950CB">
      <w:pPr>
        <w:rPr>
          <w:bCs/>
          <w:i/>
          <w:iCs/>
        </w:rPr>
      </w:pPr>
      <w:r w:rsidRPr="00D75015">
        <w:rPr>
          <w:b/>
          <w:i/>
          <w:iCs/>
        </w:rPr>
        <w:t xml:space="preserve">Please Note: </w:t>
      </w:r>
      <w:r w:rsidRPr="00D75015">
        <w:rPr>
          <w:bCs/>
          <w:i/>
          <w:iCs/>
        </w:rPr>
        <w:t>Students are expected to reach the grade range to receive that letter grade (ie. to receive an A- a student will have earned an 80 or 3.7 in the course). Assume that there will be no rounding up unless a faculty member announces otherwise.</w:t>
      </w:r>
    </w:p>
    <w:p w14:paraId="6B1DD1B6" w14:textId="77777777" w:rsidR="001950CB" w:rsidRDefault="001950CB" w:rsidP="001950CB">
      <w:pPr>
        <w:rPr>
          <w:b/>
        </w:rPr>
      </w:pPr>
    </w:p>
    <w:bookmarkEnd w:id="2"/>
    <w:bookmarkEnd w:id="3"/>
    <w:p w14:paraId="720331F8" w14:textId="77777777" w:rsidR="001950CB" w:rsidRPr="00BA7059" w:rsidRDefault="001950CB" w:rsidP="001950CB">
      <w:pPr>
        <w:rPr>
          <w:b/>
          <w:bCs/>
        </w:rPr>
      </w:pPr>
      <w:r w:rsidRPr="00BA7059">
        <w:rPr>
          <w:b/>
          <w:bCs/>
        </w:rPr>
        <w:t>Writing</w:t>
      </w:r>
    </w:p>
    <w:p w14:paraId="7FA0E4DC" w14:textId="77777777" w:rsidR="001950CB" w:rsidRPr="00BA7059" w:rsidRDefault="001950CB" w:rsidP="001950CB">
      <w:r w:rsidRPr="00BA7059">
        <w:t xml:space="preserve">All written assignments and written exam responses are assessed partly on writing skills. Writing skills include surface correctness (grammar, punctuation, sentence structure, etc.) and general </w:t>
      </w:r>
      <w:r w:rsidRPr="00BA7059">
        <w:lastRenderedPageBreak/>
        <w:t xml:space="preserve">clarity and organization. Research papers must be properly documented according to the format described in </w:t>
      </w:r>
      <w:hyperlink r:id="rId14" w:history="1">
        <w:r w:rsidRPr="007E5BC2">
          <w:rPr>
            <w:rStyle w:val="Hyperlink"/>
            <w:i/>
            <w:iCs/>
          </w:rPr>
          <w:t>The History Student’s Handbook</w:t>
        </w:r>
      </w:hyperlink>
      <w:r w:rsidRPr="00BA7059">
        <w:t>.</w:t>
      </w:r>
    </w:p>
    <w:p w14:paraId="5A78D02B" w14:textId="77777777" w:rsidR="001950CB" w:rsidRDefault="001950CB" w:rsidP="001950CB">
      <w:bookmarkStart w:id="4" w:name="_Hlk15309031"/>
    </w:p>
    <w:p w14:paraId="67D6F263" w14:textId="77777777" w:rsidR="001950CB" w:rsidRPr="00C07846" w:rsidRDefault="001950CB" w:rsidP="001950CB">
      <w:pPr>
        <w:keepNext/>
        <w:rPr>
          <w:b/>
        </w:rPr>
      </w:pPr>
      <w:r w:rsidRPr="00C07846">
        <w:rPr>
          <w:b/>
        </w:rPr>
        <w:t>Academic Misconduct</w:t>
      </w:r>
    </w:p>
    <w:p w14:paraId="3C1DA7F7" w14:textId="77777777" w:rsidR="001950CB" w:rsidRPr="00C07846" w:rsidRDefault="001950CB" w:rsidP="001950CB">
      <w:pPr>
        <w:rPr>
          <w:rFonts w:cstheme="minorHAnsi"/>
        </w:rPr>
      </w:pPr>
      <w:r w:rsidRPr="00C07846">
        <w:rPr>
          <w:rFonts w:cstheme="minorHAnsi"/>
        </w:rPr>
        <w:t>Academic Misconduct refers to student behavior which compromises proper assessment of a student’s academic activities and includes: cheating; fabrication; falsification; plagiarism; unauthorized assistance; failure to comply with an instructor’s expectations regarding conduct required of students completing academic assessments in their courses; and failure to comply with exam regulations applied by the Registrar.</w:t>
      </w:r>
    </w:p>
    <w:p w14:paraId="58C18D10" w14:textId="77777777" w:rsidR="001950CB" w:rsidRPr="00C07846" w:rsidRDefault="001950CB" w:rsidP="001950CB">
      <w:pPr>
        <w:rPr>
          <w:rFonts w:cstheme="minorHAnsi"/>
        </w:rPr>
      </w:pPr>
    </w:p>
    <w:p w14:paraId="144D92F4" w14:textId="77777777" w:rsidR="001950CB" w:rsidRPr="00C07846" w:rsidRDefault="001950CB" w:rsidP="001950CB">
      <w:pPr>
        <w:rPr>
          <w:sz w:val="22"/>
          <w:szCs w:val="22"/>
        </w:rPr>
      </w:pPr>
      <w:r w:rsidRPr="00C07846">
        <w:rPr>
          <w:rFonts w:cstheme="minorHAnsi"/>
        </w:rPr>
        <w:t xml:space="preserve">For more information, please see the </w:t>
      </w:r>
      <w:r>
        <w:rPr>
          <w:rFonts w:cstheme="minorHAnsi"/>
        </w:rPr>
        <w:t>University of Calgary</w:t>
      </w:r>
      <w:r w:rsidRPr="00C07846">
        <w:rPr>
          <w:rFonts w:cstheme="minorHAnsi"/>
        </w:rPr>
        <w:t xml:space="preserve"> </w:t>
      </w:r>
      <w:hyperlink r:id="rId15" w:history="1">
        <w:r w:rsidRPr="00A71A6D">
          <w:rPr>
            <w:rStyle w:val="Hyperlink"/>
            <w:rFonts w:cstheme="minorHAnsi"/>
          </w:rPr>
          <w:t>Student Academic Misconduct Policy</w:t>
        </w:r>
      </w:hyperlink>
      <w:r w:rsidRPr="00C07846">
        <w:rPr>
          <w:rFonts w:cstheme="minorHAnsi"/>
          <w:color w:val="000000"/>
        </w:rPr>
        <w:t xml:space="preserve"> </w:t>
      </w:r>
      <w:r>
        <w:rPr>
          <w:rFonts w:cstheme="minorHAnsi"/>
          <w:color w:val="000000"/>
        </w:rPr>
        <w:t>documents</w:t>
      </w:r>
      <w:r w:rsidRPr="00C07846">
        <w:rPr>
          <w:rFonts w:cstheme="minorHAnsi"/>
          <w:color w:val="000000"/>
        </w:rPr>
        <w:t xml:space="preserve">, and </w:t>
      </w:r>
      <w:r>
        <w:rPr>
          <w:rFonts w:cstheme="minorHAnsi"/>
          <w:color w:val="000000"/>
        </w:rPr>
        <w:t xml:space="preserve">visit </w:t>
      </w:r>
      <w:r w:rsidRPr="00C07846">
        <w:t xml:space="preserve">the </w:t>
      </w:r>
      <w:hyperlink r:id="rId16" w:history="1">
        <w:r w:rsidRPr="00C07846">
          <w:rPr>
            <w:rStyle w:val="Hyperlink"/>
          </w:rPr>
          <w:t>Academic Integrity Website</w:t>
        </w:r>
      </w:hyperlink>
      <w:r w:rsidRPr="00C07846">
        <w:rPr>
          <w:sz w:val="22"/>
          <w:szCs w:val="22"/>
        </w:rPr>
        <w:t>.</w:t>
      </w:r>
    </w:p>
    <w:p w14:paraId="7F0B62F1" w14:textId="77777777" w:rsidR="001950CB" w:rsidRDefault="001950CB" w:rsidP="001950CB">
      <w:pPr>
        <w:keepNext/>
        <w:rPr>
          <w:b/>
        </w:rPr>
      </w:pPr>
    </w:p>
    <w:p w14:paraId="72DFC29D" w14:textId="77777777" w:rsidR="001950CB" w:rsidRDefault="001950CB" w:rsidP="001950CB">
      <w:pPr>
        <w:keepNext/>
      </w:pPr>
      <w:r w:rsidRPr="00BA7059">
        <w:rPr>
          <w:b/>
        </w:rPr>
        <w:t>Plagiarism</w:t>
      </w:r>
    </w:p>
    <w:p w14:paraId="0D3A0609" w14:textId="77777777" w:rsidR="001950CB" w:rsidRPr="00711856" w:rsidRDefault="001950CB" w:rsidP="001950CB">
      <w:pPr>
        <w:keepNext/>
        <w:rPr>
          <w:lang w:val="en-CA"/>
        </w:rPr>
      </w:pPr>
      <w:r w:rsidRPr="00711856">
        <w:rPr>
          <w:lang w:val="en-CA"/>
        </w:rPr>
        <w:t xml:space="preserve">Plagiarism occurs when students submit or present the ideas and/or writing of others as if they were their own or when they submit their own work to two different classes. Please see </w:t>
      </w:r>
      <w:hyperlink r:id="rId17" w:history="1">
        <w:r w:rsidRPr="00711856">
          <w:rPr>
            <w:rStyle w:val="Hyperlink"/>
            <w:i/>
            <w:iCs/>
            <w:lang w:val="en-CA"/>
          </w:rPr>
          <w:t>The History Student’s Handbook</w:t>
        </w:r>
      </w:hyperlink>
      <w:r w:rsidRPr="00711856">
        <w:rPr>
          <w:lang w:val="en-CA"/>
        </w:rPr>
        <w:t xml:space="preserve"> for more details, but to summarize, plagiarism may take several forms:</w:t>
      </w:r>
    </w:p>
    <w:p w14:paraId="06064AA2" w14:textId="77777777" w:rsidR="001950CB" w:rsidRPr="002452E2" w:rsidRDefault="001950CB" w:rsidP="001950CB">
      <w:pPr>
        <w:pStyle w:val="ListParagraph"/>
        <w:numPr>
          <w:ilvl w:val="0"/>
          <w:numId w:val="4"/>
        </w:numPr>
        <w:spacing w:after="0"/>
        <w:rPr>
          <w:rFonts w:ascii="Times New Roman" w:hAnsi="Times New Roman"/>
          <w:sz w:val="24"/>
          <w:szCs w:val="24"/>
        </w:rPr>
      </w:pPr>
      <w:r w:rsidRPr="002452E2">
        <w:rPr>
          <w:rFonts w:ascii="Times New Roman" w:hAnsi="Times New Roman"/>
          <w:sz w:val="24"/>
          <w:szCs w:val="24"/>
        </w:rPr>
        <w:t xml:space="preserve">Failing to cite sources properly </w:t>
      </w:r>
    </w:p>
    <w:p w14:paraId="3A69E7A4" w14:textId="77777777" w:rsidR="001950CB" w:rsidRPr="002452E2" w:rsidRDefault="001950CB" w:rsidP="001950CB">
      <w:pPr>
        <w:pStyle w:val="ListParagraph"/>
        <w:numPr>
          <w:ilvl w:val="0"/>
          <w:numId w:val="4"/>
        </w:numPr>
        <w:spacing w:after="0"/>
        <w:rPr>
          <w:rFonts w:ascii="Times New Roman" w:hAnsi="Times New Roman"/>
          <w:sz w:val="24"/>
          <w:szCs w:val="24"/>
        </w:rPr>
      </w:pPr>
      <w:r w:rsidRPr="002452E2">
        <w:rPr>
          <w:rFonts w:ascii="Times New Roman" w:hAnsi="Times New Roman"/>
          <w:sz w:val="24"/>
          <w:szCs w:val="24"/>
        </w:rPr>
        <w:t>Submitting borrowed, purchased, and/or ghostwritten papers</w:t>
      </w:r>
    </w:p>
    <w:p w14:paraId="0BE860AA" w14:textId="77777777" w:rsidR="001950CB" w:rsidRPr="002452E2" w:rsidRDefault="001950CB" w:rsidP="001950CB">
      <w:pPr>
        <w:pStyle w:val="ListParagraph"/>
        <w:numPr>
          <w:ilvl w:val="0"/>
          <w:numId w:val="4"/>
        </w:numPr>
        <w:spacing w:after="0"/>
        <w:rPr>
          <w:rFonts w:ascii="Times New Roman" w:hAnsi="Times New Roman"/>
          <w:sz w:val="24"/>
          <w:szCs w:val="24"/>
        </w:rPr>
      </w:pPr>
      <w:r w:rsidRPr="002452E2">
        <w:rPr>
          <w:rFonts w:ascii="Times New Roman" w:hAnsi="Times New Roman"/>
          <w:sz w:val="24"/>
          <w:szCs w:val="24"/>
        </w:rPr>
        <w:t xml:space="preserve">Submitting one's own work for more than one course without the permission of the instructor(s) involved </w:t>
      </w:r>
    </w:p>
    <w:p w14:paraId="6CD10451" w14:textId="77777777" w:rsidR="001950CB" w:rsidRPr="002452E2" w:rsidRDefault="001950CB" w:rsidP="001950CB">
      <w:pPr>
        <w:pStyle w:val="ListParagraph"/>
        <w:numPr>
          <w:ilvl w:val="0"/>
          <w:numId w:val="4"/>
        </w:numPr>
        <w:spacing w:after="0"/>
        <w:rPr>
          <w:rFonts w:ascii="Times New Roman" w:hAnsi="Times New Roman"/>
          <w:sz w:val="24"/>
          <w:szCs w:val="24"/>
        </w:rPr>
      </w:pPr>
      <w:r w:rsidRPr="002452E2">
        <w:rPr>
          <w:rFonts w:ascii="Times New Roman" w:hAnsi="Times New Roman"/>
          <w:sz w:val="24"/>
          <w:szCs w:val="24"/>
        </w:rPr>
        <w:t xml:space="preserve">Extensive paraphrasing of one or a few sources, even when referenced properly, unless the essay is a critical analysis of those works </w:t>
      </w:r>
    </w:p>
    <w:p w14:paraId="299F77DC" w14:textId="77777777" w:rsidR="001950CB" w:rsidRDefault="001950CB" w:rsidP="001950CB">
      <w:r w:rsidRPr="00711856">
        <w:rPr>
          <w:lang w:val="en-CA"/>
        </w:rPr>
        <w:t xml:space="preserve">Plagiarism is a serious academic offence, and written work that appears to contain plagiarized passages will not be graded. All such work will be reported to the Faculty of Art’s associate deans of students who will apply the penalties specified in </w:t>
      </w:r>
      <w:hyperlink r:id="rId18" w:history="1">
        <w:r w:rsidRPr="007C0753">
          <w:rPr>
            <w:rStyle w:val="Hyperlink"/>
            <w:lang w:val="en-CA"/>
          </w:rPr>
          <w:t>the university calendar</w:t>
        </w:r>
      </w:hyperlink>
      <w:r>
        <w:rPr>
          <w:lang w:val="en-CA"/>
        </w:rPr>
        <w:t>.</w:t>
      </w:r>
    </w:p>
    <w:p w14:paraId="65C60411" w14:textId="77777777" w:rsidR="001950CB" w:rsidRPr="00E809C5" w:rsidRDefault="001950CB" w:rsidP="001950CB"/>
    <w:p w14:paraId="7896F583" w14:textId="77777777" w:rsidR="001950CB" w:rsidRPr="00C07846" w:rsidRDefault="001950CB" w:rsidP="001950CB">
      <w:pPr>
        <w:rPr>
          <w:rFonts w:asciiTheme="minorHAnsi" w:hAnsiTheme="minorHAnsi" w:cstheme="minorBidi"/>
          <w:b/>
          <w:bCs/>
          <w:sz w:val="22"/>
          <w:szCs w:val="22"/>
        </w:rPr>
      </w:pPr>
      <w:r w:rsidRPr="00C07846">
        <w:rPr>
          <w:b/>
          <w:bCs/>
        </w:rPr>
        <w:t>Academic Accommodation</w:t>
      </w:r>
    </w:p>
    <w:p w14:paraId="52558DA9" w14:textId="77777777" w:rsidR="001950CB" w:rsidRPr="00C07846" w:rsidRDefault="001950CB" w:rsidP="001950CB">
      <w:pPr>
        <w:rPr>
          <w:rFonts w:cstheme="minorHAnsi"/>
        </w:rPr>
      </w:pPr>
      <w:r w:rsidRPr="00C07846">
        <w:rPr>
          <w:rFonts w:cstheme="minorHAnsi"/>
        </w:rPr>
        <w:t xml:space="preserve">It is the student’s responsibility to request academic accommodations according to </w:t>
      </w:r>
      <w:r w:rsidRPr="00A71A6D">
        <w:rPr>
          <w:rFonts w:cstheme="minorHAnsi"/>
        </w:rPr>
        <w:t xml:space="preserve">the </w:t>
      </w:r>
      <w:hyperlink r:id="rId19" w:history="1">
        <w:r w:rsidRPr="00A71A6D">
          <w:rPr>
            <w:rStyle w:val="Hyperlink"/>
            <w:rFonts w:cstheme="minorHAnsi"/>
          </w:rPr>
          <w:t>Student Accommodations policy</w:t>
        </w:r>
      </w:hyperlink>
      <w:r w:rsidRPr="00C07846">
        <w:rPr>
          <w:rFonts w:cstheme="minorHAnsi"/>
        </w:rPr>
        <w:t xml:space="preserve">. Students needing an accommodation based on disability or medical concerns should contact Student Accessibility Services (SAS) in accordance with the </w:t>
      </w:r>
      <w:hyperlink r:id="rId20" w:history="1">
        <w:r w:rsidRPr="00A71A6D">
          <w:rPr>
            <w:rStyle w:val="Hyperlink"/>
            <w:rFonts w:cstheme="minorHAnsi"/>
          </w:rPr>
          <w:t>Procedure for Accommodations for Students with Disabilities</w:t>
        </w:r>
      </w:hyperlink>
      <w:r w:rsidRPr="00C07846">
        <w:rPr>
          <w:rFonts w:cstheme="minorHAnsi"/>
        </w:rPr>
        <w:t xml:space="preserve">.  Students who require an accommodation in relation to their coursework based on a protected ground other than Disability should communicate this need in writing to their Instructor. </w:t>
      </w:r>
    </w:p>
    <w:p w14:paraId="37287BF7" w14:textId="77777777" w:rsidR="001950CB" w:rsidRDefault="001950CB" w:rsidP="001950CB">
      <w:pPr>
        <w:rPr>
          <w:rFonts w:cstheme="minorHAnsi"/>
        </w:rPr>
      </w:pPr>
      <w:r w:rsidRPr="00C07846">
        <w:rPr>
          <w:rFonts w:cstheme="minorHAnsi"/>
        </w:rPr>
        <w:t xml:space="preserve">SAS will process the request and issue letters of accommodation to instructors. For additional information on support services and accommodations for students with disabilities, visit </w:t>
      </w:r>
      <w:hyperlink r:id="rId21" w:history="1">
        <w:r w:rsidRPr="00C07846">
          <w:rPr>
            <w:rStyle w:val="Hyperlink"/>
            <w:rFonts w:cstheme="minorHAnsi"/>
          </w:rPr>
          <w:t>Student</w:t>
        </w:r>
        <w:r w:rsidRPr="00C07846">
          <w:rPr>
            <w:rStyle w:val="Hyperlink"/>
          </w:rPr>
          <w:t xml:space="preserve"> Accessibility Services</w:t>
        </w:r>
      </w:hyperlink>
      <w:r w:rsidRPr="00C07846">
        <w:rPr>
          <w:rFonts w:cstheme="minorHAnsi"/>
        </w:rPr>
        <w:t>.</w:t>
      </w:r>
      <w:r>
        <w:rPr>
          <w:rFonts w:cstheme="minorHAnsi"/>
        </w:rPr>
        <w:t xml:space="preserve"> </w:t>
      </w:r>
    </w:p>
    <w:p w14:paraId="272877F7" w14:textId="77777777" w:rsidR="001950CB" w:rsidRDefault="001950CB" w:rsidP="001950CB">
      <w:pPr>
        <w:rPr>
          <w:rFonts w:cstheme="minorHAnsi"/>
        </w:rPr>
      </w:pPr>
    </w:p>
    <w:p w14:paraId="568F1246" w14:textId="77777777" w:rsidR="001950CB" w:rsidRPr="00C07846" w:rsidRDefault="001950CB" w:rsidP="001950CB">
      <w:pPr>
        <w:keepNext/>
        <w:keepLines/>
        <w:outlineLvl w:val="1"/>
        <w:rPr>
          <w:rFonts w:eastAsiaTheme="majorEastAsia" w:cstheme="minorHAnsi"/>
          <w:b/>
          <w:color w:val="000000" w:themeColor="text1"/>
        </w:rPr>
      </w:pPr>
      <w:r w:rsidRPr="00C07846">
        <w:rPr>
          <w:rFonts w:eastAsiaTheme="majorEastAsia" w:cstheme="minorHAnsi"/>
          <w:b/>
          <w:color w:val="000000" w:themeColor="text1"/>
        </w:rPr>
        <w:t xml:space="preserve">Research Ethics </w:t>
      </w:r>
    </w:p>
    <w:p w14:paraId="49BCF593" w14:textId="77777777" w:rsidR="001950CB" w:rsidRPr="003B67F4" w:rsidRDefault="001950CB" w:rsidP="001950CB">
      <w:pPr>
        <w:rPr>
          <w:rFonts w:cstheme="minorHAnsi"/>
          <w:bCs/>
          <w:color w:val="000000" w:themeColor="text1"/>
          <w:lang w:val="en-CA"/>
        </w:rPr>
      </w:pPr>
      <w:r w:rsidRPr="003B67F4">
        <w:rPr>
          <w:rFonts w:cstheme="minorHAnsi"/>
          <w:bCs/>
          <w:color w:val="000000" w:themeColor="text1"/>
          <w:lang w:val="en-CA"/>
        </w:rPr>
        <w:t>Students are advised that any research with human participants – including any interviewing (even with friends and family), opinion polling, or unobtrusive observation – must have the approval of the </w:t>
      </w:r>
      <w:hyperlink r:id="rId22" w:tooltip="https://research.ucalgary.ca/conduct-research/ethics-compliance/human-research-ethics/conjoint-faculties-research-ethics-board" w:history="1">
        <w:r w:rsidRPr="003B67F4">
          <w:rPr>
            <w:rStyle w:val="Hyperlink"/>
            <w:rFonts w:cstheme="minorHAnsi"/>
            <w:bCs/>
            <w:lang w:val="en-CA"/>
          </w:rPr>
          <w:t>Conjoint Faculties Research Ethics Board</w:t>
        </w:r>
      </w:hyperlink>
      <w:r w:rsidRPr="003B67F4">
        <w:rPr>
          <w:rFonts w:cstheme="minorHAnsi"/>
          <w:bCs/>
          <w:color w:val="000000" w:themeColor="text1"/>
          <w:lang w:val="en-CA"/>
        </w:rPr>
        <w:t> or the </w:t>
      </w:r>
      <w:hyperlink r:id="rId23" w:tooltip="https://research.ucalgary.ca/conduct-research/ethics-compliance/human-research-ethics/conjoint-health-research-ethics-board" w:history="1">
        <w:r w:rsidRPr="003B67F4">
          <w:rPr>
            <w:rStyle w:val="Hyperlink"/>
            <w:rFonts w:cstheme="minorHAnsi"/>
            <w:bCs/>
            <w:lang w:val="en-CA"/>
          </w:rPr>
          <w:t>Conjoint Health Research Ethics Board</w:t>
        </w:r>
      </w:hyperlink>
      <w:r w:rsidRPr="003B67F4">
        <w:rPr>
          <w:rFonts w:cstheme="minorHAnsi"/>
          <w:bCs/>
          <w:color w:val="000000" w:themeColor="text1"/>
          <w:lang w:val="en-CA"/>
        </w:rPr>
        <w:t xml:space="preserve">. In completing course requirements, students must not undertake any human subjects research without discussing their plans with the instructor, to determine if ethics approval is required. Some courses will include assignments that involve conducting research with human participants; in these cases, the instructor will have applied for and received ethics approval for </w:t>
      </w:r>
      <w:r w:rsidRPr="003B67F4">
        <w:rPr>
          <w:rFonts w:cstheme="minorHAnsi"/>
          <w:bCs/>
          <w:color w:val="000000" w:themeColor="text1"/>
          <w:lang w:val="en-CA"/>
        </w:rPr>
        <w:lastRenderedPageBreak/>
        <w:t>the course assignment. The instructor will discuss the ethical requirements for the assignment with the students. </w:t>
      </w:r>
    </w:p>
    <w:p w14:paraId="7125E2B0" w14:textId="77777777" w:rsidR="001950CB" w:rsidRDefault="001950CB" w:rsidP="001950CB">
      <w:pPr>
        <w:rPr>
          <w:rFonts w:cstheme="minorHAnsi"/>
          <w:bCs/>
          <w:color w:val="000000" w:themeColor="text1"/>
        </w:rPr>
      </w:pPr>
    </w:p>
    <w:p w14:paraId="5576756B" w14:textId="77777777" w:rsidR="001950CB" w:rsidRPr="00C07846" w:rsidRDefault="001950CB" w:rsidP="001950CB">
      <w:pPr>
        <w:rPr>
          <w:rFonts w:cstheme="minorHAnsi"/>
          <w:b/>
        </w:rPr>
      </w:pPr>
      <w:r w:rsidRPr="00C07846">
        <w:rPr>
          <w:rFonts w:cstheme="minorHAnsi"/>
          <w:b/>
        </w:rPr>
        <w:t>Instructor Intellectual Property</w:t>
      </w:r>
    </w:p>
    <w:p w14:paraId="3C8370E6" w14:textId="77777777" w:rsidR="001950CB" w:rsidRDefault="001950CB" w:rsidP="001950CB">
      <w:pPr>
        <w:rPr>
          <w:rFonts w:cstheme="minorBidi"/>
        </w:rPr>
      </w:pPr>
      <w:r w:rsidRPr="00C07846">
        <w:t>Course materials created by instructors (including presentations and posted notes, labs, case studies, assignments and exams) remain the intellectual property of the instructor. These materials may NOT be reproduced, redistributed or copied without the explicit consent of the instructor. The posting of course materials to third party websites such as note-sharing sites without permission is prohibited. Sharing of extracts of these course materials with other students enrolled in the course at the same time may be allowed under fair dealing.</w:t>
      </w:r>
    </w:p>
    <w:p w14:paraId="198EF808" w14:textId="77777777" w:rsidR="001950CB" w:rsidRDefault="001950CB" w:rsidP="001950CB">
      <w:pPr>
        <w:keepNext/>
        <w:keepLines/>
        <w:outlineLvl w:val="1"/>
        <w:rPr>
          <w:rFonts w:eastAsiaTheme="majorEastAsia" w:cstheme="minorHAnsi"/>
        </w:rPr>
      </w:pPr>
    </w:p>
    <w:p w14:paraId="1CCE0188" w14:textId="77777777" w:rsidR="001950CB" w:rsidRPr="00C07846" w:rsidRDefault="001950CB" w:rsidP="001950CB">
      <w:pPr>
        <w:keepNext/>
        <w:keepLines/>
        <w:outlineLvl w:val="1"/>
        <w:rPr>
          <w:rFonts w:eastAsiaTheme="majorEastAsia" w:cstheme="minorHAnsi"/>
          <w:b/>
          <w:color w:val="000000" w:themeColor="text1"/>
        </w:rPr>
      </w:pPr>
      <w:r w:rsidRPr="00C07846">
        <w:rPr>
          <w:rFonts w:eastAsiaTheme="majorEastAsia" w:cstheme="minorHAnsi"/>
          <w:b/>
          <w:color w:val="000000" w:themeColor="text1"/>
        </w:rPr>
        <w:t xml:space="preserve">Copyright Legislation </w:t>
      </w:r>
    </w:p>
    <w:p w14:paraId="261D81D8" w14:textId="77777777" w:rsidR="001950CB" w:rsidRDefault="001950CB" w:rsidP="001950CB">
      <w:pPr>
        <w:rPr>
          <w:rFonts w:eastAsia="Times New Roman" w:cstheme="minorHAnsi"/>
        </w:rPr>
      </w:pPr>
      <w:r w:rsidRPr="00C07846">
        <w:rPr>
          <w:rFonts w:eastAsia="Times New Roman" w:cstheme="minorHAnsi"/>
        </w:rPr>
        <w:t xml:space="preserve">All students are required to read the University of Calgary policy on </w:t>
      </w:r>
      <w:hyperlink r:id="rId24" w:history="1">
        <w:r w:rsidRPr="00A71A6D">
          <w:rPr>
            <w:rStyle w:val="Hyperlink"/>
            <w:rFonts w:eastAsia="Times New Roman" w:cstheme="minorHAnsi"/>
          </w:rPr>
          <w:t>Acceptable Use of Material Protected by Copyright</w:t>
        </w:r>
      </w:hyperlink>
      <w:r w:rsidRPr="00C07846">
        <w:rPr>
          <w:rFonts w:eastAsia="Times New Roman" w:cstheme="minorHAnsi"/>
        </w:rPr>
        <w:t xml:space="preserve"> and requirements of </w:t>
      </w:r>
      <w:hyperlink r:id="rId25" w:history="1">
        <w:r w:rsidRPr="00C07846">
          <w:rPr>
            <w:rStyle w:val="Hyperlink"/>
            <w:rFonts w:eastAsia="Times New Roman" w:cstheme="minorHAnsi"/>
          </w:rPr>
          <w:t>the Copyright Act</w:t>
        </w:r>
      </w:hyperlink>
      <w:r w:rsidRPr="00C07846">
        <w:rPr>
          <w:rFonts w:eastAsia="Times New Roman" w:cstheme="minorHAnsi"/>
        </w:rPr>
        <w:t xml:space="preserve"> to ensure they are aware of the consequences of unauthorised sharing of course materials (including instructor notes, electronic versions of textbooks etc.). Students who use material protected by copyright in violation of this policy may be disciplined under </w:t>
      </w:r>
      <w:hyperlink r:id="rId26" w:history="1">
        <w:r w:rsidRPr="00C07846">
          <w:rPr>
            <w:rStyle w:val="Hyperlink"/>
            <w:rFonts w:eastAsia="Times New Roman" w:cstheme="minorHAnsi"/>
          </w:rPr>
          <w:t>the Non-Academic Misconduct Policy</w:t>
        </w:r>
      </w:hyperlink>
      <w:r w:rsidRPr="00C07846">
        <w:rPr>
          <w:rFonts w:eastAsia="Times New Roman" w:cstheme="minorHAnsi"/>
        </w:rPr>
        <w:t>.</w:t>
      </w:r>
      <w:r>
        <w:rPr>
          <w:rFonts w:eastAsia="Times New Roman" w:cstheme="minorHAnsi"/>
        </w:rPr>
        <w:t xml:space="preserve"> </w:t>
      </w:r>
    </w:p>
    <w:p w14:paraId="550B013A" w14:textId="77777777" w:rsidR="001950CB" w:rsidRDefault="001950CB" w:rsidP="001950CB">
      <w:pPr>
        <w:rPr>
          <w:rFonts w:eastAsia="Times New Roman" w:cstheme="minorHAnsi"/>
        </w:rPr>
      </w:pPr>
    </w:p>
    <w:p w14:paraId="223AEC08" w14:textId="77777777" w:rsidR="001950CB" w:rsidRPr="00E809C5" w:rsidRDefault="001950CB" w:rsidP="001950CB">
      <w:pPr>
        <w:rPr>
          <w:b/>
        </w:rPr>
      </w:pPr>
      <w:r w:rsidRPr="00E809C5">
        <w:rPr>
          <w:b/>
        </w:rPr>
        <w:t>Copyright</w:t>
      </w:r>
      <w:r>
        <w:rPr>
          <w:b/>
        </w:rPr>
        <w:t xml:space="preserve"> of Educational Materials</w:t>
      </w:r>
    </w:p>
    <w:p w14:paraId="497DC034" w14:textId="77777777" w:rsidR="001950CB" w:rsidRPr="00BA7059" w:rsidRDefault="001950CB" w:rsidP="001950CB">
      <w:r w:rsidRPr="00E809C5">
        <w:t xml:space="preserve">The University of Calgary has opted out of the Access Copyright Interim Tariff proposed by the Copyright Board. Therefore, instructors in all University of Calgary courses will strictly adhere to Copyright Act regulations and the educational exceptions permitted by the Act for both print and digital course material. No copyrighted material may be placed on course D2L or web sites without the prior permission of the copyright holders. In some cases, this may mean that instructors will require you to purchase a print course pack from the University of Calgary bookstore or consult books on reserve at the library. Please see the </w:t>
      </w:r>
      <w:hyperlink r:id="rId27" w:history="1">
        <w:r w:rsidRPr="00E809C5">
          <w:rPr>
            <w:rStyle w:val="Hyperlink"/>
          </w:rPr>
          <w:t>University of Calgary copyright page</w:t>
        </w:r>
      </w:hyperlink>
      <w:r w:rsidRPr="00E809C5">
        <w:t>.</w:t>
      </w:r>
    </w:p>
    <w:p w14:paraId="784367CC" w14:textId="77777777" w:rsidR="001950CB" w:rsidRDefault="001950CB" w:rsidP="001950CB">
      <w:pPr>
        <w:rPr>
          <w:rFonts w:eastAsia="Times New Roman" w:cstheme="minorHAnsi"/>
        </w:rPr>
      </w:pPr>
    </w:p>
    <w:p w14:paraId="4CF2064D" w14:textId="77777777" w:rsidR="001950CB" w:rsidRPr="00C07846" w:rsidRDefault="001950CB" w:rsidP="001950CB">
      <w:pPr>
        <w:keepNext/>
        <w:keepLines/>
        <w:outlineLvl w:val="1"/>
        <w:rPr>
          <w:rFonts w:eastAsiaTheme="majorEastAsia" w:cstheme="minorHAnsi"/>
          <w:b/>
          <w:color w:val="000000" w:themeColor="text1"/>
        </w:rPr>
      </w:pPr>
      <w:r w:rsidRPr="00C07846">
        <w:rPr>
          <w:rFonts w:eastAsiaTheme="majorEastAsia" w:cstheme="minorHAnsi"/>
          <w:b/>
          <w:color w:val="000000" w:themeColor="text1"/>
        </w:rPr>
        <w:t>Freedom of Information and Protection of Privacy</w:t>
      </w:r>
    </w:p>
    <w:p w14:paraId="7BE8A849" w14:textId="77777777" w:rsidR="001950CB" w:rsidRDefault="001950CB" w:rsidP="001950CB">
      <w:pPr>
        <w:keepNext/>
        <w:keepLines/>
        <w:outlineLvl w:val="1"/>
        <w:rPr>
          <w:rFonts w:eastAsiaTheme="majorEastAsia" w:cstheme="minorHAnsi"/>
        </w:rPr>
      </w:pPr>
      <w:r w:rsidRPr="00C07846">
        <w:rPr>
          <w:rFonts w:eastAsiaTheme="majorEastAsia" w:cstheme="minorHAnsi"/>
        </w:rPr>
        <w:t xml:space="preserve">Student information will be collected in accordance with usual classroom practice. Students’ assignments will be accessible only by the authorized course faculty and teaching assistants. Private information related to the individual student is treated with the utmost regard. </w:t>
      </w:r>
    </w:p>
    <w:p w14:paraId="278D0370" w14:textId="77777777" w:rsidR="001950CB" w:rsidRDefault="001950CB" w:rsidP="001950CB">
      <w:pPr>
        <w:rPr>
          <w:rFonts w:eastAsiaTheme="minorHAnsi"/>
          <w:b/>
          <w:bCs/>
          <w:sz w:val="22"/>
          <w:szCs w:val="22"/>
          <w:lang w:eastAsia="en-US"/>
        </w:rPr>
      </w:pPr>
    </w:p>
    <w:p w14:paraId="67C9B088" w14:textId="77777777" w:rsidR="001950CB" w:rsidRPr="00D75015" w:rsidRDefault="001950CB" w:rsidP="001950CB">
      <w:pPr>
        <w:widowControl/>
        <w:autoSpaceDE/>
        <w:autoSpaceDN/>
        <w:adjustRightInd/>
        <w:spacing w:line="259" w:lineRule="auto"/>
        <w:rPr>
          <w:rFonts w:eastAsia="Calibri"/>
          <w:lang w:val="en-CA" w:eastAsia="en-US"/>
        </w:rPr>
      </w:pPr>
      <w:r w:rsidRPr="00D75015">
        <w:rPr>
          <w:rFonts w:eastAsia="Calibri"/>
          <w:b/>
          <w:bCs/>
          <w:u w:val="single"/>
          <w:lang w:val="en-CA" w:eastAsia="en-US"/>
        </w:rPr>
        <w:t>MEDIA RECORDING IN LEARNING ENVIRONMENTS</w:t>
      </w:r>
    </w:p>
    <w:p w14:paraId="3F86513C" w14:textId="77777777" w:rsidR="001950CB" w:rsidRDefault="001950CB" w:rsidP="001950CB">
      <w:pPr>
        <w:widowControl/>
        <w:autoSpaceDE/>
        <w:autoSpaceDN/>
        <w:adjustRightInd/>
        <w:spacing w:line="259" w:lineRule="auto"/>
        <w:rPr>
          <w:rFonts w:eastAsia="Calibri"/>
          <w:b/>
          <w:bCs/>
          <w:u w:val="single"/>
          <w:lang w:val="en-CA" w:eastAsia="en-US"/>
        </w:rPr>
      </w:pPr>
    </w:p>
    <w:p w14:paraId="1EE73FFE" w14:textId="77777777" w:rsidR="001950CB" w:rsidRPr="00D75015" w:rsidRDefault="001950CB" w:rsidP="001950CB">
      <w:pPr>
        <w:widowControl/>
        <w:autoSpaceDE/>
        <w:autoSpaceDN/>
        <w:adjustRightInd/>
        <w:spacing w:line="259" w:lineRule="auto"/>
        <w:rPr>
          <w:rFonts w:eastAsia="Calibri"/>
          <w:b/>
          <w:bCs/>
          <w:lang w:val="en-CA" w:eastAsia="en-US"/>
        </w:rPr>
      </w:pPr>
      <w:r w:rsidRPr="00D75015">
        <w:rPr>
          <w:rFonts w:eastAsia="Calibri"/>
          <w:b/>
          <w:bCs/>
          <w:lang w:val="en-CA" w:eastAsia="en-US"/>
        </w:rPr>
        <w:t>Media Recording for Study Purposes (Students)</w:t>
      </w:r>
    </w:p>
    <w:p w14:paraId="288EBAE8" w14:textId="77777777" w:rsidR="001950CB" w:rsidRDefault="001950CB" w:rsidP="001950CB">
      <w:pPr>
        <w:widowControl/>
        <w:autoSpaceDE/>
        <w:autoSpaceDN/>
        <w:adjustRightInd/>
        <w:spacing w:line="259" w:lineRule="auto"/>
        <w:rPr>
          <w:rFonts w:eastAsia="Calibri"/>
          <w:lang w:val="en-CA" w:eastAsia="en-US"/>
        </w:rPr>
      </w:pPr>
      <w:r w:rsidRPr="00D75015">
        <w:rPr>
          <w:rFonts w:eastAsia="Calibri"/>
          <w:lang w:val="en-CA" w:eastAsia="en-US"/>
        </w:rPr>
        <w:t xml:space="preserve">Students who wish to audio record lectures for personal study purposes need to follow the guidelines outlined in </w:t>
      </w:r>
      <w:hyperlink r:id="rId28">
        <w:r w:rsidRPr="00D75015">
          <w:rPr>
            <w:rFonts w:eastAsia="Calibri"/>
            <w:color w:val="0563C1"/>
            <w:u w:val="single"/>
            <w:lang w:val="en-CA" w:eastAsia="en-US"/>
          </w:rPr>
          <w:t>Section E.6 of the University Calendar</w:t>
        </w:r>
      </w:hyperlink>
      <w:r w:rsidRPr="00D75015">
        <w:rPr>
          <w:rFonts w:eastAsia="Calibri"/>
          <w:lang w:val="en-CA" w:eastAsia="en-US"/>
        </w:rPr>
        <w:t>. Unless the audio recording of lectures is part of a student accessibility requirement, permission must be sought by the course instructor to audio record lectures.</w:t>
      </w:r>
    </w:p>
    <w:p w14:paraId="06A522A3" w14:textId="77777777" w:rsidR="001950CB" w:rsidRPr="00D75015" w:rsidRDefault="001950CB" w:rsidP="001950CB">
      <w:pPr>
        <w:widowControl/>
        <w:autoSpaceDE/>
        <w:autoSpaceDN/>
        <w:adjustRightInd/>
        <w:spacing w:line="259" w:lineRule="auto"/>
        <w:rPr>
          <w:rFonts w:eastAsia="Calibri"/>
          <w:lang w:val="en-CA" w:eastAsia="en-US"/>
        </w:rPr>
      </w:pPr>
    </w:p>
    <w:p w14:paraId="082E7E37" w14:textId="77777777" w:rsidR="001950CB" w:rsidRPr="00D75015" w:rsidRDefault="001950CB" w:rsidP="001950CB">
      <w:pPr>
        <w:widowControl/>
        <w:autoSpaceDE/>
        <w:autoSpaceDN/>
        <w:adjustRightInd/>
        <w:spacing w:line="259" w:lineRule="auto"/>
        <w:rPr>
          <w:rFonts w:eastAsia="Calibri"/>
          <w:b/>
          <w:bCs/>
          <w:lang w:val="en-CA" w:eastAsia="en-US"/>
        </w:rPr>
      </w:pPr>
      <w:r w:rsidRPr="00D75015">
        <w:rPr>
          <w:rFonts w:eastAsia="Calibri"/>
          <w:b/>
          <w:bCs/>
          <w:lang w:val="en-CA" w:eastAsia="en-US"/>
        </w:rPr>
        <w:t>Media recording for lesson capture</w:t>
      </w:r>
    </w:p>
    <w:p w14:paraId="7AACC3E4" w14:textId="77777777" w:rsidR="001950CB" w:rsidRDefault="001950CB" w:rsidP="001950CB">
      <w:pPr>
        <w:widowControl/>
        <w:autoSpaceDE/>
        <w:autoSpaceDN/>
        <w:adjustRightInd/>
        <w:spacing w:line="259" w:lineRule="auto"/>
        <w:rPr>
          <w:rFonts w:eastAsia="Calibri"/>
          <w:lang w:val="en-CA" w:eastAsia="en-US"/>
        </w:rPr>
      </w:pPr>
      <w:r w:rsidRPr="00D75015">
        <w:rPr>
          <w:rFonts w:eastAsia="Calibri"/>
          <w:lang w:val="en-CA" w:eastAsia="en-US"/>
        </w:rPr>
        <w:t xml:space="preserve">The instructor may use media recordings to capture the delivery of a lecture. These recordings are intended to be used for lecture capture only and will not be used for any other purpose. Recordings will be posted on D2L for student use and will normally be deleted at the end of </w:t>
      </w:r>
      <w:r w:rsidRPr="00D75015">
        <w:rPr>
          <w:rFonts w:eastAsia="Calibri"/>
          <w:lang w:val="en-CA" w:eastAsia="en-US"/>
        </w:rPr>
        <w:lastRenderedPageBreak/>
        <w:t xml:space="preserve">term. Students are responsible for turning off their camera and/or microphone if they do not wish to be recorded. </w:t>
      </w:r>
    </w:p>
    <w:p w14:paraId="50E3FFB5" w14:textId="77777777" w:rsidR="001950CB" w:rsidRPr="00D75015" w:rsidRDefault="001950CB" w:rsidP="001950CB">
      <w:pPr>
        <w:widowControl/>
        <w:autoSpaceDE/>
        <w:autoSpaceDN/>
        <w:adjustRightInd/>
        <w:spacing w:line="259" w:lineRule="auto"/>
        <w:rPr>
          <w:rFonts w:eastAsia="Calibri"/>
          <w:lang w:val="en-CA" w:eastAsia="en-US"/>
        </w:rPr>
      </w:pPr>
    </w:p>
    <w:p w14:paraId="55D5A296" w14:textId="77777777" w:rsidR="001950CB" w:rsidRPr="00D75015" w:rsidRDefault="001950CB" w:rsidP="001950CB">
      <w:pPr>
        <w:widowControl/>
        <w:autoSpaceDE/>
        <w:autoSpaceDN/>
        <w:adjustRightInd/>
        <w:spacing w:line="259" w:lineRule="auto"/>
        <w:rPr>
          <w:rFonts w:eastAsia="Calibri"/>
          <w:lang w:val="en-CA" w:eastAsia="en-US"/>
        </w:rPr>
      </w:pPr>
      <w:r w:rsidRPr="00D75015">
        <w:rPr>
          <w:rFonts w:eastAsia="Calibri"/>
          <w:b/>
          <w:bCs/>
          <w:lang w:val="en-CA" w:eastAsia="en-US"/>
        </w:rPr>
        <w:t>Media recording for assessment of student learning</w:t>
      </w:r>
    </w:p>
    <w:p w14:paraId="7FCB3A8A" w14:textId="77777777" w:rsidR="001950CB" w:rsidRDefault="001950CB" w:rsidP="001950CB">
      <w:pPr>
        <w:widowControl/>
        <w:autoSpaceDE/>
        <w:autoSpaceDN/>
        <w:adjustRightInd/>
        <w:spacing w:line="259" w:lineRule="auto"/>
        <w:rPr>
          <w:rFonts w:eastAsia="Calibri"/>
          <w:lang w:val="en-CA" w:eastAsia="en-US"/>
        </w:rPr>
      </w:pPr>
      <w:r w:rsidRPr="00D75015">
        <w:rPr>
          <w:rFonts w:eastAsia="Calibri"/>
          <w:lang w:val="en-CA" w:eastAsia="en-US"/>
        </w:rPr>
        <w:t xml:space="preserve">The instructor may use media recordings as part of the assessment of students. This may include but is not limited to classroom discussions, presentations, clinical practice, or skills testing that occur during the course. These recordings will be used for student assessment purposes only and will not be shared or used for any other purpose. The recording will be destroyed as specified by </w:t>
      </w:r>
      <w:hyperlink r:id="rId29">
        <w:r w:rsidRPr="00D75015">
          <w:rPr>
            <w:rFonts w:eastAsia="Calibri"/>
            <w:color w:val="0563C1"/>
            <w:u w:val="single"/>
            <w:lang w:val="en-CA" w:eastAsia="en-US"/>
          </w:rPr>
          <w:t>retention rule 2000.01</w:t>
        </w:r>
      </w:hyperlink>
      <w:r w:rsidRPr="00D75015">
        <w:rPr>
          <w:rFonts w:eastAsia="Calibri"/>
          <w:lang w:val="en-CA" w:eastAsia="en-US"/>
        </w:rPr>
        <w:t xml:space="preserve">  “Examinations and Student Assignments”.</w:t>
      </w:r>
    </w:p>
    <w:p w14:paraId="3291CF79" w14:textId="77777777" w:rsidR="001950CB" w:rsidRPr="00D75015" w:rsidRDefault="001950CB" w:rsidP="001950CB">
      <w:pPr>
        <w:widowControl/>
        <w:autoSpaceDE/>
        <w:autoSpaceDN/>
        <w:adjustRightInd/>
        <w:spacing w:line="259" w:lineRule="auto"/>
        <w:rPr>
          <w:rFonts w:eastAsia="Calibri"/>
          <w:lang w:val="en-CA" w:eastAsia="en-US"/>
        </w:rPr>
      </w:pPr>
    </w:p>
    <w:p w14:paraId="1ED11ADE" w14:textId="77777777" w:rsidR="001950CB" w:rsidRPr="00D75015" w:rsidRDefault="001950CB" w:rsidP="001950CB">
      <w:pPr>
        <w:widowControl/>
        <w:autoSpaceDE/>
        <w:autoSpaceDN/>
        <w:adjustRightInd/>
        <w:spacing w:line="259" w:lineRule="auto"/>
        <w:rPr>
          <w:rFonts w:eastAsia="Calibri"/>
          <w:lang w:val="en-CA" w:eastAsia="en-US"/>
        </w:rPr>
      </w:pPr>
      <w:r w:rsidRPr="00D75015">
        <w:rPr>
          <w:rFonts w:eastAsia="Calibri"/>
          <w:b/>
          <w:bCs/>
          <w:lang w:val="en-CA" w:eastAsia="en-US"/>
        </w:rPr>
        <w:t>Media recording for self-assessment of teaching practices</w:t>
      </w:r>
    </w:p>
    <w:p w14:paraId="57007C2E" w14:textId="77777777" w:rsidR="001950CB" w:rsidRPr="00D75015" w:rsidRDefault="001950CB" w:rsidP="001950CB">
      <w:pPr>
        <w:widowControl/>
        <w:autoSpaceDE/>
        <w:autoSpaceDN/>
        <w:adjustRightInd/>
        <w:spacing w:line="259" w:lineRule="auto"/>
        <w:rPr>
          <w:rFonts w:eastAsia="Calibri"/>
          <w:lang w:val="en-CA" w:eastAsia="en-US"/>
        </w:rPr>
      </w:pPr>
      <w:r w:rsidRPr="00D75015">
        <w:rPr>
          <w:rFonts w:eastAsia="Calibri"/>
          <w:lang w:val="en-CA" w:eastAsia="en-US"/>
        </w:rPr>
        <w:t xml:space="preserve">The instructor may use media recordings as a tool for self-assessment of their teaching practices. Although the recording device will be fixed on the instructor, it is possible that student participation in the course may be inadvertently captured. The recording will be destroyed as specified by </w:t>
      </w:r>
      <w:hyperlink r:id="rId30">
        <w:r w:rsidRPr="00D75015">
          <w:rPr>
            <w:rFonts w:eastAsia="Calibri"/>
            <w:color w:val="0563C1"/>
            <w:u w:val="single"/>
            <w:lang w:val="en-CA" w:eastAsia="en-US"/>
          </w:rPr>
          <w:t>retention rule 98.0011</w:t>
        </w:r>
      </w:hyperlink>
      <w:r w:rsidRPr="00D75015">
        <w:rPr>
          <w:rFonts w:eastAsia="Calibri"/>
          <w:lang w:val="en-CA" w:eastAsia="en-US"/>
        </w:rPr>
        <w:t xml:space="preserve">  “Draft Documents &amp; Working Materials”.</w:t>
      </w:r>
    </w:p>
    <w:bookmarkEnd w:id="4"/>
    <w:p w14:paraId="48A8E021" w14:textId="77777777" w:rsidR="001950CB" w:rsidRPr="00BA7059" w:rsidRDefault="001950CB" w:rsidP="001950CB">
      <w:pPr>
        <w:rPr>
          <w:b/>
        </w:rPr>
      </w:pPr>
    </w:p>
    <w:p w14:paraId="11AB2FA7" w14:textId="77777777" w:rsidR="001950CB" w:rsidRPr="00BA7059" w:rsidRDefault="001950CB" w:rsidP="001950CB">
      <w:pPr>
        <w:rPr>
          <w:b/>
          <w:bCs/>
          <w:lang w:val="en-CA"/>
        </w:rPr>
      </w:pPr>
      <w:r w:rsidRPr="00BA7059">
        <w:rPr>
          <w:b/>
          <w:bCs/>
          <w:lang w:val="en-CA"/>
        </w:rPr>
        <w:t xml:space="preserve">Sexual Violence Policy </w:t>
      </w:r>
    </w:p>
    <w:p w14:paraId="6F4FCF17" w14:textId="77777777" w:rsidR="001950CB" w:rsidRPr="00BA7059" w:rsidRDefault="001950CB" w:rsidP="001950CB">
      <w:pPr>
        <w:rPr>
          <w:bCs/>
          <w:lang w:val="en-CA"/>
        </w:rPr>
      </w:pPr>
      <w:r w:rsidRPr="00BA7059">
        <w:rPr>
          <w:bCs/>
          <w:lang w:val="en-CA"/>
        </w:rPr>
        <w:t xml:space="preserve">The University recognizes that all members of the University Community should be able to learn, work, teach and live in an environment where they are free from harassment, discrimination, and violence. The University of Calgary’s sexual violence policy guides us in how we respond to incidents of sexual violence, including supports available to those who have experienced or witnessed sexual violence, or those who are alleged to have committed sexual violence. It provides clear response procedures and timelines, defines complex concepts, and addresses incidents that occur off-campus in certain circumstances. Please see </w:t>
      </w:r>
      <w:hyperlink r:id="rId31" w:history="1">
        <w:r w:rsidRPr="004E33B3">
          <w:rPr>
            <w:rStyle w:val="Hyperlink"/>
            <w:bCs/>
            <w:lang w:val="en-CA"/>
          </w:rPr>
          <w:t xml:space="preserve">the </w:t>
        </w:r>
        <w:r w:rsidRPr="004E33B3">
          <w:rPr>
            <w:rStyle w:val="Hyperlink"/>
          </w:rPr>
          <w:t>sexual and gender-based violence policy</w:t>
        </w:r>
      </w:hyperlink>
      <w:r>
        <w:t>.</w:t>
      </w:r>
    </w:p>
    <w:p w14:paraId="63C892C0" w14:textId="77777777" w:rsidR="001950CB" w:rsidRPr="00BA7059" w:rsidRDefault="001950CB" w:rsidP="001950CB">
      <w:pPr>
        <w:rPr>
          <w:b/>
        </w:rPr>
      </w:pPr>
    </w:p>
    <w:p w14:paraId="20B2B116" w14:textId="77777777" w:rsidR="001950CB" w:rsidRPr="00BA7059" w:rsidRDefault="001950CB" w:rsidP="001950CB">
      <w:pPr>
        <w:rPr>
          <w:b/>
        </w:rPr>
      </w:pPr>
      <w:r w:rsidRPr="00BA7059">
        <w:rPr>
          <w:b/>
        </w:rPr>
        <w:t>Other Useful Information</w:t>
      </w:r>
    </w:p>
    <w:p w14:paraId="02404A99" w14:textId="77777777" w:rsidR="001950CB" w:rsidRPr="00BA7059" w:rsidRDefault="001950CB" w:rsidP="001950CB">
      <w:pPr>
        <w:rPr>
          <w:rFonts w:eastAsia="Times New Roman"/>
        </w:rPr>
      </w:pPr>
      <w:r w:rsidRPr="00BA7059">
        <w:rPr>
          <w:rFonts w:eastAsia="Times New Roman"/>
          <w:lang w:eastAsia="en-CA"/>
        </w:rPr>
        <w:t xml:space="preserve">Please see </w:t>
      </w:r>
      <w:r>
        <w:rPr>
          <w:rFonts w:eastAsia="Times New Roman"/>
          <w:lang w:eastAsia="en-CA"/>
        </w:rPr>
        <w:t xml:space="preserve">the Registrar’s </w:t>
      </w:r>
      <w:hyperlink r:id="rId32" w:history="1">
        <w:r w:rsidRPr="00812BB1">
          <w:rPr>
            <w:rStyle w:val="Hyperlink"/>
            <w:rFonts w:eastAsia="Times New Roman"/>
            <w:lang w:eastAsia="en-CA"/>
          </w:rPr>
          <w:t>Course Outline Student Support and Resources</w:t>
        </w:r>
      </w:hyperlink>
      <w:r>
        <w:rPr>
          <w:rFonts w:eastAsia="Times New Roman"/>
          <w:lang w:eastAsia="en-CA"/>
        </w:rPr>
        <w:t xml:space="preserve"> page </w:t>
      </w:r>
      <w:r w:rsidRPr="00BA7059">
        <w:rPr>
          <w:rFonts w:eastAsia="Times New Roman"/>
        </w:rPr>
        <w:t>for information on:</w:t>
      </w:r>
    </w:p>
    <w:p w14:paraId="777A8C7F"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Wellness and Mental Health</w:t>
      </w:r>
    </w:p>
    <w:p w14:paraId="336CD7D4"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Student Success</w:t>
      </w:r>
    </w:p>
    <w:p w14:paraId="71A0BBF3"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Student Ombuds Office</w:t>
      </w:r>
    </w:p>
    <w:p w14:paraId="3E57549C"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Student Union (SU) Information</w:t>
      </w:r>
    </w:p>
    <w:p w14:paraId="3755BDEA"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Graduate Students’ Association (GSA) Information</w:t>
      </w:r>
    </w:p>
    <w:p w14:paraId="6F637A4B" w14:textId="77777777" w:rsidR="001950CB" w:rsidRPr="00BA7059"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Emergency Evacuation/Assembly Points</w:t>
      </w:r>
    </w:p>
    <w:p w14:paraId="5657899A" w14:textId="77777777" w:rsidR="001950CB" w:rsidRPr="00D75015" w:rsidRDefault="001950CB" w:rsidP="001950CB">
      <w:pPr>
        <w:pStyle w:val="ListParagraph"/>
        <w:numPr>
          <w:ilvl w:val="0"/>
          <w:numId w:val="13"/>
        </w:numPr>
        <w:spacing w:after="0"/>
        <w:rPr>
          <w:rFonts w:eastAsia="Times New Roman"/>
          <w:sz w:val="24"/>
          <w:szCs w:val="24"/>
          <w:lang w:eastAsia="en-CA"/>
        </w:rPr>
      </w:pPr>
      <w:r w:rsidRPr="00BA7059">
        <w:rPr>
          <w:rFonts w:ascii="Times New Roman" w:eastAsia="Times New Roman" w:hAnsi="Times New Roman"/>
          <w:sz w:val="24"/>
          <w:szCs w:val="24"/>
          <w:lang w:eastAsia="en-CA"/>
        </w:rPr>
        <w:t>Safewalk</w:t>
      </w:r>
    </w:p>
    <w:p w14:paraId="7746CA9C" w14:textId="77777777" w:rsidR="001950CB" w:rsidRPr="006C4AB4" w:rsidRDefault="001950CB" w:rsidP="001950CB">
      <w:pPr>
        <w:pStyle w:val="ListParagraph"/>
        <w:numPr>
          <w:ilvl w:val="0"/>
          <w:numId w:val="13"/>
        </w:numPr>
        <w:spacing w:after="0"/>
        <w:rPr>
          <w:rFonts w:eastAsia="Times New Roman"/>
          <w:sz w:val="24"/>
          <w:szCs w:val="24"/>
          <w:lang w:eastAsia="en-CA"/>
        </w:rPr>
      </w:pPr>
      <w:r>
        <w:rPr>
          <w:rFonts w:ascii="Times New Roman" w:eastAsia="Times New Roman" w:hAnsi="Times New Roman"/>
          <w:sz w:val="24"/>
          <w:szCs w:val="24"/>
          <w:lang w:eastAsia="en-CA"/>
        </w:rPr>
        <w:t>Campus Security 220-5333</w:t>
      </w:r>
    </w:p>
    <w:p w14:paraId="71D7B190" w14:textId="77777777" w:rsidR="001950CB" w:rsidRPr="00263253" w:rsidRDefault="001950CB" w:rsidP="001950CB">
      <w:pPr>
        <w:ind w:left="360"/>
        <w:rPr>
          <w:b/>
          <w:bCs/>
          <w:color w:val="000000" w:themeColor="text1"/>
        </w:rPr>
      </w:pPr>
    </w:p>
    <w:p w14:paraId="7AC3DAEB" w14:textId="77777777" w:rsidR="001950CB" w:rsidRPr="00263253" w:rsidRDefault="001950CB" w:rsidP="001950CB">
      <w:pPr>
        <w:rPr>
          <w:b/>
          <w:bCs/>
          <w:color w:val="000000" w:themeColor="text1"/>
        </w:rPr>
      </w:pPr>
      <w:r w:rsidRPr="00263253">
        <w:rPr>
          <w:b/>
          <w:bCs/>
          <w:color w:val="000000" w:themeColor="text1"/>
        </w:rPr>
        <w:t xml:space="preserve">Department of History Twitter @ucalgaryhist  </w:t>
      </w:r>
    </w:p>
    <w:p w14:paraId="46B26215" w14:textId="77777777" w:rsidR="001950CB" w:rsidRDefault="001950CB" w:rsidP="001950CB">
      <w:pPr>
        <w:pStyle w:val="ListParagraph"/>
        <w:spacing w:after="0"/>
        <w:jc w:val="right"/>
        <w:rPr>
          <w:rFonts w:ascii="Times New Roman" w:eastAsia="PMingLiU" w:hAnsi="Times New Roman"/>
          <w:i/>
          <w:sz w:val="24"/>
          <w:szCs w:val="24"/>
          <w:lang w:eastAsia="zh-CN"/>
        </w:rPr>
      </w:pPr>
    </w:p>
    <w:p w14:paraId="36ACA713" w14:textId="2E19D2FC" w:rsidR="00C6266C" w:rsidRPr="00BA7059" w:rsidRDefault="00C6266C" w:rsidP="001950CB">
      <w:pPr>
        <w:jc w:val="center"/>
        <w:rPr>
          <w:b/>
          <w:i/>
          <w:color w:val="0000FF"/>
          <w:u w:val="single"/>
        </w:rPr>
      </w:pPr>
    </w:p>
    <w:sectPr w:rsidR="00C6266C" w:rsidRPr="00BA7059" w:rsidSect="00CC64F3">
      <w:footerReference w:type="default" r:id="rId33"/>
      <w:pgSz w:w="12240" w:h="15840"/>
      <w:pgMar w:top="1440" w:right="1440" w:bottom="1151" w:left="1440" w:header="1440" w:footer="7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8A87" w14:textId="77777777" w:rsidR="006F3AB8" w:rsidRDefault="006F3AB8" w:rsidP="004D027A">
      <w:r>
        <w:separator/>
      </w:r>
    </w:p>
  </w:endnote>
  <w:endnote w:type="continuationSeparator" w:id="0">
    <w:p w14:paraId="28FA5B1D" w14:textId="77777777" w:rsidR="006F3AB8" w:rsidRDefault="006F3AB8" w:rsidP="004D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0973"/>
      <w:docPartObj>
        <w:docPartGallery w:val="Page Numbers (Bottom of Page)"/>
        <w:docPartUnique/>
      </w:docPartObj>
    </w:sdtPr>
    <w:sdtEndPr/>
    <w:sdtContent>
      <w:sdt>
        <w:sdtPr>
          <w:id w:val="1728636285"/>
          <w:docPartObj>
            <w:docPartGallery w:val="Page Numbers (Top of Page)"/>
            <w:docPartUnique/>
          </w:docPartObj>
        </w:sdtPr>
        <w:sdtEndPr/>
        <w:sdtContent>
          <w:p w14:paraId="6209FF87" w14:textId="44EE1214" w:rsidR="004D027A" w:rsidRDefault="004D027A">
            <w:pPr>
              <w:pStyle w:val="Footer"/>
              <w:jc w:val="center"/>
            </w:pPr>
            <w:r>
              <w:t xml:space="preserve">Page </w:t>
            </w:r>
            <w:r>
              <w:rPr>
                <w:b/>
                <w:bCs/>
              </w:rPr>
              <w:fldChar w:fldCharType="begin"/>
            </w:r>
            <w:r>
              <w:rPr>
                <w:b/>
                <w:bCs/>
              </w:rPr>
              <w:instrText xml:space="preserve"> PAGE </w:instrText>
            </w:r>
            <w:r>
              <w:rPr>
                <w:b/>
                <w:bCs/>
              </w:rPr>
              <w:fldChar w:fldCharType="separate"/>
            </w:r>
            <w:r w:rsidR="00635F4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35F4B">
              <w:rPr>
                <w:b/>
                <w:bCs/>
                <w:noProof/>
              </w:rPr>
              <w:t>8</w:t>
            </w:r>
            <w:r>
              <w:rPr>
                <w:b/>
                <w:bCs/>
              </w:rPr>
              <w:fldChar w:fldCharType="end"/>
            </w:r>
          </w:p>
        </w:sdtContent>
      </w:sdt>
    </w:sdtContent>
  </w:sdt>
  <w:p w14:paraId="350B346F" w14:textId="77777777" w:rsidR="004D027A" w:rsidRDefault="004D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3FA9" w14:textId="77777777" w:rsidR="006F3AB8" w:rsidRDefault="006F3AB8" w:rsidP="004D027A">
      <w:r>
        <w:separator/>
      </w:r>
    </w:p>
  </w:footnote>
  <w:footnote w:type="continuationSeparator" w:id="0">
    <w:p w14:paraId="53090C54" w14:textId="77777777" w:rsidR="006F3AB8" w:rsidRDefault="006F3AB8" w:rsidP="004D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3CC"/>
    <w:multiLevelType w:val="hybridMultilevel"/>
    <w:tmpl w:val="C854C72C"/>
    <w:lvl w:ilvl="0" w:tplc="5D52947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40AFF"/>
    <w:multiLevelType w:val="hybridMultilevel"/>
    <w:tmpl w:val="347831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3862E2D"/>
    <w:multiLevelType w:val="hybridMultilevel"/>
    <w:tmpl w:val="6B447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56629F"/>
    <w:multiLevelType w:val="hybridMultilevel"/>
    <w:tmpl w:val="7A0C87EA"/>
    <w:lvl w:ilvl="0" w:tplc="00645BD6">
      <w:numFmt w:val="bullet"/>
      <w:lvlText w:val=""/>
      <w:lvlJc w:val="left"/>
      <w:pPr>
        <w:ind w:left="720" w:hanging="360"/>
      </w:pPr>
      <w:rPr>
        <w:rFonts w:ascii="Wingdings" w:eastAsia="PMingLiU"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E65354"/>
    <w:multiLevelType w:val="hybridMultilevel"/>
    <w:tmpl w:val="F844CB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EA53A5A"/>
    <w:multiLevelType w:val="hybridMultilevel"/>
    <w:tmpl w:val="7E1699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91F0A25"/>
    <w:multiLevelType w:val="hybridMultilevel"/>
    <w:tmpl w:val="C6FC4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BF56407"/>
    <w:multiLevelType w:val="hybridMultilevel"/>
    <w:tmpl w:val="B80A106A"/>
    <w:lvl w:ilvl="0" w:tplc="E96435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224199"/>
    <w:multiLevelType w:val="hybridMultilevel"/>
    <w:tmpl w:val="8D60F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B83D1D"/>
    <w:multiLevelType w:val="hybridMultilevel"/>
    <w:tmpl w:val="694862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A721375"/>
    <w:multiLevelType w:val="hybridMultilevel"/>
    <w:tmpl w:val="46827A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C6C5A8C"/>
    <w:multiLevelType w:val="hybridMultilevel"/>
    <w:tmpl w:val="013ED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F86DC8"/>
    <w:multiLevelType w:val="hybridMultilevel"/>
    <w:tmpl w:val="BECE9D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29D5FF3"/>
    <w:multiLevelType w:val="hybridMultilevel"/>
    <w:tmpl w:val="59E62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F7122D"/>
    <w:multiLevelType w:val="hybridMultilevel"/>
    <w:tmpl w:val="E9BC4FC4"/>
    <w:lvl w:ilvl="0" w:tplc="CBB47592">
      <w:numFmt w:val="bullet"/>
      <w:lvlText w:val="·"/>
      <w:lvlJc w:val="left"/>
      <w:pPr>
        <w:ind w:left="800" w:hanging="440"/>
      </w:pPr>
      <w:rPr>
        <w:rFonts w:ascii="Times New Roman" w:eastAsia="PMingLiU"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7173A6"/>
    <w:multiLevelType w:val="hybridMultilevel"/>
    <w:tmpl w:val="A8347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755173"/>
    <w:multiLevelType w:val="hybridMultilevel"/>
    <w:tmpl w:val="DB26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352115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655246">
    <w:abstractNumId w:val="16"/>
  </w:num>
  <w:num w:numId="3" w16cid:durableId="280888192">
    <w:abstractNumId w:val="5"/>
  </w:num>
  <w:num w:numId="4" w16cid:durableId="256792226">
    <w:abstractNumId w:val="13"/>
  </w:num>
  <w:num w:numId="5" w16cid:durableId="779448949">
    <w:abstractNumId w:val="9"/>
  </w:num>
  <w:num w:numId="6" w16cid:durableId="759837864">
    <w:abstractNumId w:val="2"/>
  </w:num>
  <w:num w:numId="7" w16cid:durableId="1965498628">
    <w:abstractNumId w:val="15"/>
  </w:num>
  <w:num w:numId="8" w16cid:durableId="1145926419">
    <w:abstractNumId w:val="4"/>
  </w:num>
  <w:num w:numId="9" w16cid:durableId="193156671">
    <w:abstractNumId w:val="1"/>
  </w:num>
  <w:num w:numId="10" w16cid:durableId="1790859720">
    <w:abstractNumId w:val="10"/>
  </w:num>
  <w:num w:numId="11" w16cid:durableId="287782441">
    <w:abstractNumId w:val="6"/>
  </w:num>
  <w:num w:numId="12" w16cid:durableId="1962492542">
    <w:abstractNumId w:val="0"/>
  </w:num>
  <w:num w:numId="13" w16cid:durableId="767043397">
    <w:abstractNumId w:val="11"/>
  </w:num>
  <w:num w:numId="14" w16cid:durableId="1915046679">
    <w:abstractNumId w:val="7"/>
  </w:num>
  <w:num w:numId="15" w16cid:durableId="1622149703">
    <w:abstractNumId w:val="3"/>
  </w:num>
  <w:num w:numId="16" w16cid:durableId="70785508">
    <w:abstractNumId w:val="8"/>
  </w:num>
  <w:num w:numId="17" w16cid:durableId="1354309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C4"/>
    <w:rsid w:val="00013D18"/>
    <w:rsid w:val="000230AB"/>
    <w:rsid w:val="00023758"/>
    <w:rsid w:val="00026B03"/>
    <w:rsid w:val="00031009"/>
    <w:rsid w:val="000434C6"/>
    <w:rsid w:val="00050497"/>
    <w:rsid w:val="000528FE"/>
    <w:rsid w:val="000620C8"/>
    <w:rsid w:val="000627A9"/>
    <w:rsid w:val="00093A03"/>
    <w:rsid w:val="000A3D38"/>
    <w:rsid w:val="000B5A7C"/>
    <w:rsid w:val="000C1069"/>
    <w:rsid w:val="000C26C9"/>
    <w:rsid w:val="000C53AA"/>
    <w:rsid w:val="000C690E"/>
    <w:rsid w:val="000D23B4"/>
    <w:rsid w:val="000D270D"/>
    <w:rsid w:val="000F557B"/>
    <w:rsid w:val="0011566C"/>
    <w:rsid w:val="00124358"/>
    <w:rsid w:val="001276BB"/>
    <w:rsid w:val="001325C5"/>
    <w:rsid w:val="00134502"/>
    <w:rsid w:val="001402F1"/>
    <w:rsid w:val="00141B8A"/>
    <w:rsid w:val="00143ED7"/>
    <w:rsid w:val="00145387"/>
    <w:rsid w:val="001519F6"/>
    <w:rsid w:val="001539B4"/>
    <w:rsid w:val="00185C4C"/>
    <w:rsid w:val="00187928"/>
    <w:rsid w:val="0019146A"/>
    <w:rsid w:val="001950CB"/>
    <w:rsid w:val="001A5DC0"/>
    <w:rsid w:val="001B1F87"/>
    <w:rsid w:val="001C307B"/>
    <w:rsid w:val="001D2152"/>
    <w:rsid w:val="001E26E7"/>
    <w:rsid w:val="001E2D11"/>
    <w:rsid w:val="001E6F7F"/>
    <w:rsid w:val="001E77E7"/>
    <w:rsid w:val="00215522"/>
    <w:rsid w:val="002169DA"/>
    <w:rsid w:val="00220C20"/>
    <w:rsid w:val="00223C85"/>
    <w:rsid w:val="002410FD"/>
    <w:rsid w:val="002452E2"/>
    <w:rsid w:val="002459FC"/>
    <w:rsid w:val="002461B0"/>
    <w:rsid w:val="002571CE"/>
    <w:rsid w:val="00263253"/>
    <w:rsid w:val="0029550B"/>
    <w:rsid w:val="002A463D"/>
    <w:rsid w:val="002B2AB3"/>
    <w:rsid w:val="002B37FB"/>
    <w:rsid w:val="002B4A0F"/>
    <w:rsid w:val="002C17C0"/>
    <w:rsid w:val="002E4316"/>
    <w:rsid w:val="002F0269"/>
    <w:rsid w:val="00302F8B"/>
    <w:rsid w:val="00306025"/>
    <w:rsid w:val="00307440"/>
    <w:rsid w:val="00316406"/>
    <w:rsid w:val="00324CCD"/>
    <w:rsid w:val="003263B4"/>
    <w:rsid w:val="00347A01"/>
    <w:rsid w:val="003558CE"/>
    <w:rsid w:val="003568AF"/>
    <w:rsid w:val="0036552C"/>
    <w:rsid w:val="0037636C"/>
    <w:rsid w:val="00377854"/>
    <w:rsid w:val="00382B41"/>
    <w:rsid w:val="00394BFA"/>
    <w:rsid w:val="00397B0A"/>
    <w:rsid w:val="003A0238"/>
    <w:rsid w:val="003A5BED"/>
    <w:rsid w:val="003B0B39"/>
    <w:rsid w:val="003B7A6F"/>
    <w:rsid w:val="003C03A3"/>
    <w:rsid w:val="003C7E2E"/>
    <w:rsid w:val="003E5701"/>
    <w:rsid w:val="003F01A2"/>
    <w:rsid w:val="003F684C"/>
    <w:rsid w:val="004168EF"/>
    <w:rsid w:val="004319EB"/>
    <w:rsid w:val="00435C74"/>
    <w:rsid w:val="004378FB"/>
    <w:rsid w:val="004416B2"/>
    <w:rsid w:val="00443773"/>
    <w:rsid w:val="00451F18"/>
    <w:rsid w:val="00454188"/>
    <w:rsid w:val="0045577D"/>
    <w:rsid w:val="00456522"/>
    <w:rsid w:val="0046097D"/>
    <w:rsid w:val="004B316F"/>
    <w:rsid w:val="004B34C4"/>
    <w:rsid w:val="004C0F3A"/>
    <w:rsid w:val="004C1314"/>
    <w:rsid w:val="004C57B8"/>
    <w:rsid w:val="004D027A"/>
    <w:rsid w:val="004D3B29"/>
    <w:rsid w:val="004E33B3"/>
    <w:rsid w:val="004E3409"/>
    <w:rsid w:val="004F3CED"/>
    <w:rsid w:val="004F6745"/>
    <w:rsid w:val="0050645A"/>
    <w:rsid w:val="0050671F"/>
    <w:rsid w:val="0050782B"/>
    <w:rsid w:val="00513C0E"/>
    <w:rsid w:val="0053259E"/>
    <w:rsid w:val="005443FA"/>
    <w:rsid w:val="00547363"/>
    <w:rsid w:val="005545A2"/>
    <w:rsid w:val="00574313"/>
    <w:rsid w:val="005A25CD"/>
    <w:rsid w:val="005A33D3"/>
    <w:rsid w:val="005C4FAA"/>
    <w:rsid w:val="005D0A2C"/>
    <w:rsid w:val="005E2B57"/>
    <w:rsid w:val="005F09B9"/>
    <w:rsid w:val="005F6D0C"/>
    <w:rsid w:val="00602D96"/>
    <w:rsid w:val="00623F61"/>
    <w:rsid w:val="00626DBD"/>
    <w:rsid w:val="00631958"/>
    <w:rsid w:val="006358A7"/>
    <w:rsid w:val="00635F4B"/>
    <w:rsid w:val="0063601E"/>
    <w:rsid w:val="00661208"/>
    <w:rsid w:val="006628D7"/>
    <w:rsid w:val="0067458F"/>
    <w:rsid w:val="006872DF"/>
    <w:rsid w:val="00690713"/>
    <w:rsid w:val="006967AE"/>
    <w:rsid w:val="006A4F5C"/>
    <w:rsid w:val="006A7D6A"/>
    <w:rsid w:val="006B0357"/>
    <w:rsid w:val="006B33F8"/>
    <w:rsid w:val="006C19AC"/>
    <w:rsid w:val="006C4030"/>
    <w:rsid w:val="006C4AB4"/>
    <w:rsid w:val="006D3C02"/>
    <w:rsid w:val="006D66C3"/>
    <w:rsid w:val="006E67B3"/>
    <w:rsid w:val="006F1F0D"/>
    <w:rsid w:val="006F257A"/>
    <w:rsid w:val="006F3AB8"/>
    <w:rsid w:val="007054D6"/>
    <w:rsid w:val="0071161B"/>
    <w:rsid w:val="00711856"/>
    <w:rsid w:val="00725C36"/>
    <w:rsid w:val="00734EF6"/>
    <w:rsid w:val="007426DF"/>
    <w:rsid w:val="0076230F"/>
    <w:rsid w:val="007675A1"/>
    <w:rsid w:val="00767795"/>
    <w:rsid w:val="0078316B"/>
    <w:rsid w:val="00787A5F"/>
    <w:rsid w:val="00792C4A"/>
    <w:rsid w:val="007A2C03"/>
    <w:rsid w:val="007B63AF"/>
    <w:rsid w:val="007C0753"/>
    <w:rsid w:val="007C0BAA"/>
    <w:rsid w:val="007C1944"/>
    <w:rsid w:val="007C4745"/>
    <w:rsid w:val="007D182F"/>
    <w:rsid w:val="007D4653"/>
    <w:rsid w:val="007D76E2"/>
    <w:rsid w:val="007E5BC2"/>
    <w:rsid w:val="007F0454"/>
    <w:rsid w:val="0080294E"/>
    <w:rsid w:val="0080508A"/>
    <w:rsid w:val="008053EA"/>
    <w:rsid w:val="00810B4C"/>
    <w:rsid w:val="00812BB1"/>
    <w:rsid w:val="008278DB"/>
    <w:rsid w:val="00830562"/>
    <w:rsid w:val="008401CB"/>
    <w:rsid w:val="00842AF4"/>
    <w:rsid w:val="008616FB"/>
    <w:rsid w:val="00865E7A"/>
    <w:rsid w:val="008764D1"/>
    <w:rsid w:val="008847D3"/>
    <w:rsid w:val="00887870"/>
    <w:rsid w:val="00895F86"/>
    <w:rsid w:val="008B191A"/>
    <w:rsid w:val="008D2AB8"/>
    <w:rsid w:val="008D6516"/>
    <w:rsid w:val="008E4028"/>
    <w:rsid w:val="008E75D9"/>
    <w:rsid w:val="008F596C"/>
    <w:rsid w:val="00903787"/>
    <w:rsid w:val="00906511"/>
    <w:rsid w:val="00916FE1"/>
    <w:rsid w:val="00934CA2"/>
    <w:rsid w:val="0094357D"/>
    <w:rsid w:val="009437FD"/>
    <w:rsid w:val="00944EC3"/>
    <w:rsid w:val="0095472A"/>
    <w:rsid w:val="00960DED"/>
    <w:rsid w:val="00961490"/>
    <w:rsid w:val="009725E0"/>
    <w:rsid w:val="00985B65"/>
    <w:rsid w:val="009A1AE4"/>
    <w:rsid w:val="009A5189"/>
    <w:rsid w:val="009A645F"/>
    <w:rsid w:val="009A673A"/>
    <w:rsid w:val="009C4C58"/>
    <w:rsid w:val="009D558A"/>
    <w:rsid w:val="009D6E5D"/>
    <w:rsid w:val="009E0B26"/>
    <w:rsid w:val="00A14B40"/>
    <w:rsid w:val="00A222CC"/>
    <w:rsid w:val="00A6174C"/>
    <w:rsid w:val="00A71A6D"/>
    <w:rsid w:val="00A75944"/>
    <w:rsid w:val="00A8274D"/>
    <w:rsid w:val="00A82B7E"/>
    <w:rsid w:val="00A86618"/>
    <w:rsid w:val="00A968BA"/>
    <w:rsid w:val="00A97354"/>
    <w:rsid w:val="00AA5684"/>
    <w:rsid w:val="00AB5B4C"/>
    <w:rsid w:val="00AB6803"/>
    <w:rsid w:val="00AB6EEF"/>
    <w:rsid w:val="00AB71C1"/>
    <w:rsid w:val="00AD1CFD"/>
    <w:rsid w:val="00B05447"/>
    <w:rsid w:val="00B07439"/>
    <w:rsid w:val="00B122F8"/>
    <w:rsid w:val="00B27614"/>
    <w:rsid w:val="00B47D42"/>
    <w:rsid w:val="00B47ED7"/>
    <w:rsid w:val="00B523D1"/>
    <w:rsid w:val="00B53108"/>
    <w:rsid w:val="00B57F05"/>
    <w:rsid w:val="00B62EA0"/>
    <w:rsid w:val="00B70739"/>
    <w:rsid w:val="00B84F00"/>
    <w:rsid w:val="00BA7059"/>
    <w:rsid w:val="00BC2301"/>
    <w:rsid w:val="00BD0F30"/>
    <w:rsid w:val="00C07846"/>
    <w:rsid w:val="00C15C80"/>
    <w:rsid w:val="00C2129B"/>
    <w:rsid w:val="00C32D1A"/>
    <w:rsid w:val="00C358DA"/>
    <w:rsid w:val="00C6266C"/>
    <w:rsid w:val="00C708E3"/>
    <w:rsid w:val="00C74222"/>
    <w:rsid w:val="00C75FA6"/>
    <w:rsid w:val="00C76785"/>
    <w:rsid w:val="00C955D9"/>
    <w:rsid w:val="00CA0735"/>
    <w:rsid w:val="00CB0567"/>
    <w:rsid w:val="00CC3025"/>
    <w:rsid w:val="00CC64F3"/>
    <w:rsid w:val="00CD402A"/>
    <w:rsid w:val="00CF280D"/>
    <w:rsid w:val="00D02254"/>
    <w:rsid w:val="00D02B1E"/>
    <w:rsid w:val="00D10280"/>
    <w:rsid w:val="00D347F0"/>
    <w:rsid w:val="00D35666"/>
    <w:rsid w:val="00D743DE"/>
    <w:rsid w:val="00D76789"/>
    <w:rsid w:val="00D768D5"/>
    <w:rsid w:val="00D916F4"/>
    <w:rsid w:val="00D92BA9"/>
    <w:rsid w:val="00D95BAD"/>
    <w:rsid w:val="00D97286"/>
    <w:rsid w:val="00DA0B0E"/>
    <w:rsid w:val="00DA4BFD"/>
    <w:rsid w:val="00DB1CCD"/>
    <w:rsid w:val="00DE19E8"/>
    <w:rsid w:val="00DE317C"/>
    <w:rsid w:val="00DF0625"/>
    <w:rsid w:val="00E06BC8"/>
    <w:rsid w:val="00E1501F"/>
    <w:rsid w:val="00E24AD8"/>
    <w:rsid w:val="00E311EB"/>
    <w:rsid w:val="00E403FF"/>
    <w:rsid w:val="00E4499E"/>
    <w:rsid w:val="00E5209E"/>
    <w:rsid w:val="00E7324F"/>
    <w:rsid w:val="00E74897"/>
    <w:rsid w:val="00E802DB"/>
    <w:rsid w:val="00E809C5"/>
    <w:rsid w:val="00E857E1"/>
    <w:rsid w:val="00E87887"/>
    <w:rsid w:val="00E91BA1"/>
    <w:rsid w:val="00EA2FE0"/>
    <w:rsid w:val="00EC0904"/>
    <w:rsid w:val="00EC2C88"/>
    <w:rsid w:val="00EC3D87"/>
    <w:rsid w:val="00EC7AF3"/>
    <w:rsid w:val="00ED5ADC"/>
    <w:rsid w:val="00ED5BC6"/>
    <w:rsid w:val="00EF4372"/>
    <w:rsid w:val="00EF7E7F"/>
    <w:rsid w:val="00F0444B"/>
    <w:rsid w:val="00F046F0"/>
    <w:rsid w:val="00F11DC1"/>
    <w:rsid w:val="00F266A3"/>
    <w:rsid w:val="00F32E40"/>
    <w:rsid w:val="00F362EF"/>
    <w:rsid w:val="00F54750"/>
    <w:rsid w:val="00F71066"/>
    <w:rsid w:val="00F745DC"/>
    <w:rsid w:val="00F95957"/>
    <w:rsid w:val="00F96D8C"/>
    <w:rsid w:val="00FA05A7"/>
    <w:rsid w:val="00FA27C2"/>
    <w:rsid w:val="00FB5E4C"/>
    <w:rsid w:val="00FC02E4"/>
    <w:rsid w:val="00FF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3998"/>
  <w15:docId w15:val="{6ED21720-DDEB-4B6D-9F23-C1A2D65A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C4"/>
    <w:pPr>
      <w:widowControl w:val="0"/>
      <w:autoSpaceDE w:val="0"/>
      <w:autoSpaceDN w:val="0"/>
      <w:adjustRightInd w:val="0"/>
      <w:spacing w:after="0" w:line="240" w:lineRule="auto"/>
    </w:pPr>
    <w:rPr>
      <w:rFonts w:ascii="Times New Roman" w:eastAsia="PMingLiU"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34C4"/>
    <w:rPr>
      <w:color w:val="0000FF"/>
      <w:u w:val="single"/>
    </w:rPr>
  </w:style>
  <w:style w:type="paragraph" w:styleId="NormalWeb">
    <w:name w:val="Normal (Web)"/>
    <w:basedOn w:val="Normal"/>
    <w:uiPriority w:val="99"/>
    <w:unhideWhenUsed/>
    <w:rsid w:val="004B34C4"/>
    <w:pPr>
      <w:widowControl/>
      <w:autoSpaceDE/>
      <w:autoSpaceDN/>
      <w:adjustRightInd/>
      <w:spacing w:before="100" w:beforeAutospacing="1" w:after="100" w:afterAutospacing="1"/>
    </w:pPr>
    <w:rPr>
      <w:rFonts w:ascii="Verdana" w:eastAsia="Times New Roman" w:hAnsi="Verdana"/>
      <w:color w:val="000000"/>
      <w:lang w:eastAsia="en-US"/>
    </w:rPr>
  </w:style>
  <w:style w:type="paragraph" w:styleId="Title">
    <w:name w:val="Title"/>
    <w:basedOn w:val="Normal"/>
    <w:link w:val="TitleChar"/>
    <w:uiPriority w:val="99"/>
    <w:qFormat/>
    <w:rsid w:val="004B34C4"/>
    <w:pPr>
      <w:widowControl/>
      <w:autoSpaceDE/>
      <w:autoSpaceDN/>
      <w:adjustRightInd/>
      <w:jc w:val="center"/>
    </w:pPr>
    <w:rPr>
      <w:rFonts w:eastAsia="Times New Roman"/>
      <w:b/>
      <w:bCs/>
      <w:lang w:eastAsia="en-US"/>
    </w:rPr>
  </w:style>
  <w:style w:type="character" w:customStyle="1" w:styleId="TitleChar">
    <w:name w:val="Title Char"/>
    <w:basedOn w:val="DefaultParagraphFont"/>
    <w:link w:val="Title"/>
    <w:uiPriority w:val="99"/>
    <w:rsid w:val="004B34C4"/>
    <w:rPr>
      <w:rFonts w:ascii="Times New Roman" w:eastAsia="Times New Roman" w:hAnsi="Times New Roman" w:cs="Times New Roman"/>
      <w:b/>
      <w:bCs/>
      <w:sz w:val="24"/>
      <w:szCs w:val="24"/>
    </w:rPr>
  </w:style>
  <w:style w:type="paragraph" w:styleId="ListParagraph">
    <w:name w:val="List Paragraph"/>
    <w:basedOn w:val="Normal"/>
    <w:uiPriority w:val="34"/>
    <w:qFormat/>
    <w:rsid w:val="004B34C4"/>
    <w:pPr>
      <w:widowControl/>
      <w:autoSpaceDE/>
      <w:autoSpaceDN/>
      <w:adjustRightInd/>
      <w:spacing w:after="200"/>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645F"/>
    <w:rPr>
      <w:color w:val="800080" w:themeColor="followedHyperlink"/>
      <w:u w:val="single"/>
    </w:rPr>
  </w:style>
  <w:style w:type="character" w:customStyle="1" w:styleId="apple-converted-space">
    <w:name w:val="apple-converted-space"/>
    <w:basedOn w:val="DefaultParagraphFont"/>
    <w:rsid w:val="003C03A3"/>
  </w:style>
  <w:style w:type="table" w:styleId="TableGrid">
    <w:name w:val="Table Grid"/>
    <w:basedOn w:val="TableNormal"/>
    <w:uiPriority w:val="39"/>
    <w:rsid w:val="006628D7"/>
    <w:pPr>
      <w:spacing w:after="0" w:line="240" w:lineRule="auto"/>
    </w:pPr>
    <w:rPr>
      <w:rFonts w:ascii="Lucida Sans Unicode" w:eastAsia="Times New Roman" w:hAnsi="Lucida Sans Unicod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0444B"/>
    <w:pPr>
      <w:widowControl/>
      <w:autoSpaceDE/>
      <w:autoSpaceDN/>
      <w:adjustRightInd/>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0444B"/>
    <w:rPr>
      <w:rFonts w:ascii="Calibri" w:hAnsi="Calibri"/>
      <w:szCs w:val="21"/>
    </w:rPr>
  </w:style>
  <w:style w:type="character" w:customStyle="1" w:styleId="generic-body">
    <w:name w:val="generic-body"/>
    <w:basedOn w:val="DefaultParagraphFont"/>
    <w:rsid w:val="00215522"/>
  </w:style>
  <w:style w:type="character" w:customStyle="1" w:styleId="UnresolvedMention1">
    <w:name w:val="Unresolved Mention1"/>
    <w:basedOn w:val="DefaultParagraphFont"/>
    <w:uiPriority w:val="99"/>
    <w:semiHidden/>
    <w:unhideWhenUsed/>
    <w:rsid w:val="0076230F"/>
    <w:rPr>
      <w:color w:val="605E5C"/>
      <w:shd w:val="clear" w:color="auto" w:fill="E1DFDD"/>
    </w:rPr>
  </w:style>
  <w:style w:type="paragraph" w:styleId="BalloonText">
    <w:name w:val="Balloon Text"/>
    <w:basedOn w:val="Normal"/>
    <w:link w:val="BalloonTextChar"/>
    <w:uiPriority w:val="99"/>
    <w:semiHidden/>
    <w:unhideWhenUsed/>
    <w:rsid w:val="00762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0F"/>
    <w:rPr>
      <w:rFonts w:ascii="Segoe UI" w:eastAsia="PMingLiU" w:hAnsi="Segoe UI" w:cs="Segoe UI"/>
      <w:sz w:val="18"/>
      <w:szCs w:val="18"/>
      <w:lang w:eastAsia="zh-CN"/>
    </w:rPr>
  </w:style>
  <w:style w:type="character" w:styleId="CommentReference">
    <w:name w:val="annotation reference"/>
    <w:basedOn w:val="DefaultParagraphFont"/>
    <w:uiPriority w:val="99"/>
    <w:semiHidden/>
    <w:unhideWhenUsed/>
    <w:rsid w:val="00574313"/>
    <w:rPr>
      <w:sz w:val="16"/>
      <w:szCs w:val="16"/>
    </w:rPr>
  </w:style>
  <w:style w:type="paragraph" w:styleId="CommentText">
    <w:name w:val="annotation text"/>
    <w:basedOn w:val="Normal"/>
    <w:link w:val="CommentTextChar"/>
    <w:uiPriority w:val="99"/>
    <w:semiHidden/>
    <w:unhideWhenUsed/>
    <w:rsid w:val="00574313"/>
    <w:rPr>
      <w:sz w:val="20"/>
      <w:szCs w:val="20"/>
    </w:rPr>
  </w:style>
  <w:style w:type="character" w:customStyle="1" w:styleId="CommentTextChar">
    <w:name w:val="Comment Text Char"/>
    <w:basedOn w:val="DefaultParagraphFont"/>
    <w:link w:val="CommentText"/>
    <w:uiPriority w:val="99"/>
    <w:semiHidden/>
    <w:rsid w:val="00574313"/>
    <w:rPr>
      <w:rFonts w:ascii="Times New Roman" w:eastAsia="PMingLiU"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74313"/>
    <w:rPr>
      <w:b/>
      <w:bCs/>
    </w:rPr>
  </w:style>
  <w:style w:type="character" w:customStyle="1" w:styleId="CommentSubjectChar">
    <w:name w:val="Comment Subject Char"/>
    <w:basedOn w:val="CommentTextChar"/>
    <w:link w:val="CommentSubject"/>
    <w:uiPriority w:val="99"/>
    <w:semiHidden/>
    <w:rsid w:val="00574313"/>
    <w:rPr>
      <w:rFonts w:ascii="Times New Roman" w:eastAsia="PMingLiU" w:hAnsi="Times New Roman" w:cs="Times New Roman"/>
      <w:b/>
      <w:bCs/>
      <w:sz w:val="20"/>
      <w:szCs w:val="20"/>
      <w:lang w:eastAsia="zh-CN"/>
    </w:rPr>
  </w:style>
  <w:style w:type="character" w:customStyle="1" w:styleId="UnresolvedMention2">
    <w:name w:val="Unresolved Mention2"/>
    <w:basedOn w:val="DefaultParagraphFont"/>
    <w:uiPriority w:val="99"/>
    <w:semiHidden/>
    <w:unhideWhenUsed/>
    <w:rsid w:val="00787A5F"/>
    <w:rPr>
      <w:color w:val="605E5C"/>
      <w:shd w:val="clear" w:color="auto" w:fill="E1DFDD"/>
    </w:rPr>
  </w:style>
  <w:style w:type="paragraph" w:styleId="Header">
    <w:name w:val="header"/>
    <w:basedOn w:val="Normal"/>
    <w:link w:val="HeaderChar"/>
    <w:uiPriority w:val="99"/>
    <w:unhideWhenUsed/>
    <w:rsid w:val="004D027A"/>
    <w:pPr>
      <w:tabs>
        <w:tab w:val="center" w:pos="4680"/>
        <w:tab w:val="right" w:pos="9360"/>
      </w:tabs>
    </w:pPr>
  </w:style>
  <w:style w:type="character" w:customStyle="1" w:styleId="HeaderChar">
    <w:name w:val="Header Char"/>
    <w:basedOn w:val="DefaultParagraphFont"/>
    <w:link w:val="Header"/>
    <w:uiPriority w:val="99"/>
    <w:rsid w:val="004D027A"/>
    <w:rPr>
      <w:rFonts w:ascii="Times New Roman" w:eastAsia="PMingLiU" w:hAnsi="Times New Roman" w:cs="Times New Roman"/>
      <w:sz w:val="24"/>
      <w:szCs w:val="24"/>
      <w:lang w:eastAsia="zh-CN"/>
    </w:rPr>
  </w:style>
  <w:style w:type="paragraph" w:styleId="Footer">
    <w:name w:val="footer"/>
    <w:basedOn w:val="Normal"/>
    <w:link w:val="FooterChar"/>
    <w:uiPriority w:val="99"/>
    <w:unhideWhenUsed/>
    <w:rsid w:val="004D027A"/>
    <w:pPr>
      <w:tabs>
        <w:tab w:val="center" w:pos="4680"/>
        <w:tab w:val="right" w:pos="9360"/>
      </w:tabs>
    </w:pPr>
  </w:style>
  <w:style w:type="character" w:customStyle="1" w:styleId="FooterChar">
    <w:name w:val="Footer Char"/>
    <w:basedOn w:val="DefaultParagraphFont"/>
    <w:link w:val="Footer"/>
    <w:uiPriority w:val="99"/>
    <w:rsid w:val="004D027A"/>
    <w:rPr>
      <w:rFonts w:ascii="Times New Roman" w:eastAsia="PMingLiU" w:hAnsi="Times New Roman" w:cs="Times New Roman"/>
      <w:sz w:val="24"/>
      <w:szCs w:val="24"/>
      <w:lang w:eastAsia="zh-CN"/>
    </w:rPr>
  </w:style>
  <w:style w:type="character" w:customStyle="1" w:styleId="UnresolvedMention3">
    <w:name w:val="Unresolved Mention3"/>
    <w:basedOn w:val="DefaultParagraphFont"/>
    <w:uiPriority w:val="99"/>
    <w:rsid w:val="00812BB1"/>
    <w:rPr>
      <w:color w:val="605E5C"/>
      <w:shd w:val="clear" w:color="auto" w:fill="E1DFDD"/>
    </w:rPr>
  </w:style>
  <w:style w:type="paragraph" w:customStyle="1" w:styleId="Default">
    <w:name w:val="Default"/>
    <w:rsid w:val="00EF4372"/>
    <w:pPr>
      <w:autoSpaceDE w:val="0"/>
      <w:autoSpaceDN w:val="0"/>
      <w:adjustRightInd w:val="0"/>
      <w:spacing w:after="0" w:line="240" w:lineRule="auto"/>
    </w:pPr>
    <w:rPr>
      <w:rFonts w:ascii="Calibri" w:hAnsi="Calibri" w:cs="Calibri"/>
      <w:color w:val="000000"/>
      <w:sz w:val="24"/>
      <w:szCs w:val="24"/>
      <w:lang w:val="en-CA"/>
    </w:rPr>
  </w:style>
  <w:style w:type="character" w:customStyle="1" w:styleId="UnresolvedMention4">
    <w:name w:val="Unresolved Mention4"/>
    <w:basedOn w:val="DefaultParagraphFont"/>
    <w:uiPriority w:val="99"/>
    <w:semiHidden/>
    <w:unhideWhenUsed/>
    <w:rsid w:val="0036552C"/>
    <w:rPr>
      <w:color w:val="605E5C"/>
      <w:shd w:val="clear" w:color="auto" w:fill="E1DFDD"/>
    </w:rPr>
  </w:style>
  <w:style w:type="paragraph" w:styleId="Revision">
    <w:name w:val="Revision"/>
    <w:hidden/>
    <w:uiPriority w:val="99"/>
    <w:semiHidden/>
    <w:rsid w:val="00635F4B"/>
    <w:pPr>
      <w:spacing w:after="0" w:line="240" w:lineRule="auto"/>
    </w:pPr>
    <w:rPr>
      <w:rFonts w:ascii="Times New Roman" w:eastAsia="PMingLiU" w:hAnsi="Times New Roman" w:cs="Times New Roman"/>
      <w:sz w:val="24"/>
      <w:szCs w:val="24"/>
      <w:lang w:eastAsia="zh-CN"/>
    </w:rPr>
  </w:style>
  <w:style w:type="character" w:styleId="UnresolvedMention">
    <w:name w:val="Unresolved Mention"/>
    <w:basedOn w:val="DefaultParagraphFont"/>
    <w:uiPriority w:val="99"/>
    <w:semiHidden/>
    <w:unhideWhenUsed/>
    <w:rsid w:val="007C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2662">
      <w:bodyDiv w:val="1"/>
      <w:marLeft w:val="0"/>
      <w:marRight w:val="0"/>
      <w:marTop w:val="0"/>
      <w:marBottom w:val="0"/>
      <w:divBdr>
        <w:top w:val="none" w:sz="0" w:space="0" w:color="auto"/>
        <w:left w:val="none" w:sz="0" w:space="0" w:color="auto"/>
        <w:bottom w:val="none" w:sz="0" w:space="0" w:color="auto"/>
        <w:right w:val="none" w:sz="0" w:space="0" w:color="auto"/>
      </w:divBdr>
    </w:div>
    <w:div w:id="233929435">
      <w:bodyDiv w:val="1"/>
      <w:marLeft w:val="0"/>
      <w:marRight w:val="0"/>
      <w:marTop w:val="0"/>
      <w:marBottom w:val="0"/>
      <w:divBdr>
        <w:top w:val="none" w:sz="0" w:space="0" w:color="auto"/>
        <w:left w:val="none" w:sz="0" w:space="0" w:color="auto"/>
        <w:bottom w:val="none" w:sz="0" w:space="0" w:color="auto"/>
        <w:right w:val="none" w:sz="0" w:space="0" w:color="auto"/>
      </w:divBdr>
    </w:div>
    <w:div w:id="285233684">
      <w:bodyDiv w:val="1"/>
      <w:marLeft w:val="0"/>
      <w:marRight w:val="0"/>
      <w:marTop w:val="0"/>
      <w:marBottom w:val="0"/>
      <w:divBdr>
        <w:top w:val="none" w:sz="0" w:space="0" w:color="auto"/>
        <w:left w:val="none" w:sz="0" w:space="0" w:color="auto"/>
        <w:bottom w:val="none" w:sz="0" w:space="0" w:color="auto"/>
        <w:right w:val="none" w:sz="0" w:space="0" w:color="auto"/>
      </w:divBdr>
    </w:div>
    <w:div w:id="460146674">
      <w:bodyDiv w:val="1"/>
      <w:marLeft w:val="0"/>
      <w:marRight w:val="0"/>
      <w:marTop w:val="0"/>
      <w:marBottom w:val="0"/>
      <w:divBdr>
        <w:top w:val="none" w:sz="0" w:space="0" w:color="auto"/>
        <w:left w:val="none" w:sz="0" w:space="0" w:color="auto"/>
        <w:bottom w:val="none" w:sz="0" w:space="0" w:color="auto"/>
        <w:right w:val="none" w:sz="0" w:space="0" w:color="auto"/>
      </w:divBdr>
    </w:div>
    <w:div w:id="488911991">
      <w:bodyDiv w:val="1"/>
      <w:marLeft w:val="0"/>
      <w:marRight w:val="0"/>
      <w:marTop w:val="0"/>
      <w:marBottom w:val="0"/>
      <w:divBdr>
        <w:top w:val="none" w:sz="0" w:space="0" w:color="auto"/>
        <w:left w:val="none" w:sz="0" w:space="0" w:color="auto"/>
        <w:bottom w:val="none" w:sz="0" w:space="0" w:color="auto"/>
        <w:right w:val="none" w:sz="0" w:space="0" w:color="auto"/>
      </w:divBdr>
    </w:div>
    <w:div w:id="730616393">
      <w:bodyDiv w:val="1"/>
      <w:marLeft w:val="0"/>
      <w:marRight w:val="0"/>
      <w:marTop w:val="0"/>
      <w:marBottom w:val="0"/>
      <w:divBdr>
        <w:top w:val="none" w:sz="0" w:space="0" w:color="auto"/>
        <w:left w:val="none" w:sz="0" w:space="0" w:color="auto"/>
        <w:bottom w:val="none" w:sz="0" w:space="0" w:color="auto"/>
        <w:right w:val="none" w:sz="0" w:space="0" w:color="auto"/>
      </w:divBdr>
    </w:div>
    <w:div w:id="815727395">
      <w:bodyDiv w:val="1"/>
      <w:marLeft w:val="0"/>
      <w:marRight w:val="0"/>
      <w:marTop w:val="0"/>
      <w:marBottom w:val="0"/>
      <w:divBdr>
        <w:top w:val="none" w:sz="0" w:space="0" w:color="auto"/>
        <w:left w:val="none" w:sz="0" w:space="0" w:color="auto"/>
        <w:bottom w:val="none" w:sz="0" w:space="0" w:color="auto"/>
        <w:right w:val="none" w:sz="0" w:space="0" w:color="auto"/>
      </w:divBdr>
    </w:div>
    <w:div w:id="1263492978">
      <w:bodyDiv w:val="1"/>
      <w:marLeft w:val="0"/>
      <w:marRight w:val="0"/>
      <w:marTop w:val="0"/>
      <w:marBottom w:val="0"/>
      <w:divBdr>
        <w:top w:val="none" w:sz="0" w:space="0" w:color="auto"/>
        <w:left w:val="none" w:sz="0" w:space="0" w:color="auto"/>
        <w:bottom w:val="none" w:sz="0" w:space="0" w:color="auto"/>
        <w:right w:val="none" w:sz="0" w:space="0" w:color="auto"/>
      </w:divBdr>
    </w:div>
    <w:div w:id="1340083344">
      <w:bodyDiv w:val="1"/>
      <w:marLeft w:val="0"/>
      <w:marRight w:val="0"/>
      <w:marTop w:val="0"/>
      <w:marBottom w:val="0"/>
      <w:divBdr>
        <w:top w:val="none" w:sz="0" w:space="0" w:color="auto"/>
        <w:left w:val="none" w:sz="0" w:space="0" w:color="auto"/>
        <w:bottom w:val="none" w:sz="0" w:space="0" w:color="auto"/>
        <w:right w:val="none" w:sz="0" w:space="0" w:color="auto"/>
      </w:divBdr>
    </w:div>
    <w:div w:id="1643119614">
      <w:bodyDiv w:val="1"/>
      <w:marLeft w:val="0"/>
      <w:marRight w:val="0"/>
      <w:marTop w:val="0"/>
      <w:marBottom w:val="0"/>
      <w:divBdr>
        <w:top w:val="none" w:sz="0" w:space="0" w:color="auto"/>
        <w:left w:val="none" w:sz="0" w:space="0" w:color="auto"/>
        <w:bottom w:val="none" w:sz="0" w:space="0" w:color="auto"/>
        <w:right w:val="none" w:sz="0" w:space="0" w:color="auto"/>
      </w:divBdr>
    </w:div>
    <w:div w:id="1903371224">
      <w:bodyDiv w:val="1"/>
      <w:marLeft w:val="0"/>
      <w:marRight w:val="0"/>
      <w:marTop w:val="0"/>
      <w:marBottom w:val="0"/>
      <w:divBdr>
        <w:top w:val="none" w:sz="0" w:space="0" w:color="auto"/>
        <w:left w:val="none" w:sz="0" w:space="0" w:color="auto"/>
        <w:bottom w:val="none" w:sz="0" w:space="0" w:color="auto"/>
        <w:right w:val="none" w:sz="0" w:space="0" w:color="auto"/>
      </w:divBdr>
    </w:div>
    <w:div w:id="1940328385">
      <w:bodyDiv w:val="1"/>
      <w:marLeft w:val="0"/>
      <w:marRight w:val="0"/>
      <w:marTop w:val="0"/>
      <w:marBottom w:val="0"/>
      <w:divBdr>
        <w:top w:val="none" w:sz="0" w:space="0" w:color="auto"/>
        <w:left w:val="none" w:sz="0" w:space="0" w:color="auto"/>
        <w:bottom w:val="none" w:sz="0" w:space="0" w:color="auto"/>
        <w:right w:val="none" w:sz="0" w:space="0" w:color="auto"/>
      </w:divBdr>
    </w:div>
    <w:div w:id="2061202685">
      <w:bodyDiv w:val="1"/>
      <w:marLeft w:val="0"/>
      <w:marRight w:val="0"/>
      <w:marTop w:val="0"/>
      <w:marBottom w:val="0"/>
      <w:divBdr>
        <w:top w:val="none" w:sz="0" w:space="0" w:color="auto"/>
        <w:left w:val="none" w:sz="0" w:space="0" w:color="auto"/>
        <w:bottom w:val="none" w:sz="0" w:space="0" w:color="auto"/>
        <w:right w:val="none" w:sz="0" w:space="0" w:color="auto"/>
      </w:divBdr>
    </w:div>
    <w:div w:id="21081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lgary.ca/pubs/calendar/current/f-1-1.html" TargetMode="External"/><Relationship Id="rId18" Type="http://schemas.openxmlformats.org/officeDocument/2006/relationships/hyperlink" Target="https://www.ucalgary.ca/pubs/calendar/current/k.html" TargetMode="External"/><Relationship Id="rId26" Type="http://schemas.openxmlformats.org/officeDocument/2006/relationships/hyperlink" Target="https://www.ucalgary.ca/pubs/calendar/current/k.html" TargetMode="External"/><Relationship Id="rId3" Type="http://schemas.openxmlformats.org/officeDocument/2006/relationships/styles" Target="styles.xml"/><Relationship Id="rId21" Type="http://schemas.openxmlformats.org/officeDocument/2006/relationships/hyperlink" Target="http://www.ucalgary.ca/acces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algary.ca/pubs/calendar/current/e-6.html" TargetMode="External"/><Relationship Id="rId17" Type="http://schemas.openxmlformats.org/officeDocument/2006/relationships/hyperlink" Target="https://arts.ucalgary.ca/history/current-students/undergraduate/student-handbook" TargetMode="External"/><Relationship Id="rId25" Type="http://schemas.openxmlformats.org/officeDocument/2006/relationships/hyperlink" Target="https://laws-lois.justice.gc.ca/eng/acts/C-42/index.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calgary.ca/student-services/student-success/learning/academic-integrity" TargetMode="External"/><Relationship Id="rId20" Type="http://schemas.openxmlformats.org/officeDocument/2006/relationships/hyperlink" Target="https://www.ucalgary.ca/legal-services/university-policies-procedures/accommodation-students-disabilities-procedure" TargetMode="External"/><Relationship Id="rId29" Type="http://schemas.openxmlformats.org/officeDocument/2006/relationships/hyperlink" Target="https://asc.ucalgary.ca/marrs/examinations-and-assign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lse.ac.uk/id/eprint/60218" TargetMode="External"/><Relationship Id="rId24" Type="http://schemas.openxmlformats.org/officeDocument/2006/relationships/hyperlink" Target="https://www.ucalgary.ca/legal-services/university-policies-procedures/acceptable-use-material-protected-copyright-policy" TargetMode="External"/><Relationship Id="rId32" Type="http://schemas.openxmlformats.org/officeDocument/2006/relationships/hyperlink" Target="https://www.ucalgary.ca/registrar/registration/course-outlines" TargetMode="External"/><Relationship Id="rId5" Type="http://schemas.openxmlformats.org/officeDocument/2006/relationships/webSettings" Target="webSettings.xml"/><Relationship Id="rId15" Type="http://schemas.openxmlformats.org/officeDocument/2006/relationships/hyperlink" Target="https://www.ucalgary.ca/legal-services/university-policies-procedures/student-academic-misconduct-policy" TargetMode="External"/><Relationship Id="rId23" Type="http://schemas.openxmlformats.org/officeDocument/2006/relationships/hyperlink" Target="https://research.ucalgary.ca/conduct-research/ethics-compliance/human-research-ethics/conjoint-health-research-ethics-board" TargetMode="External"/><Relationship Id="rId28" Type="http://schemas.openxmlformats.org/officeDocument/2006/relationships/hyperlink" Target="https://www.ucalgary.ca/pubs/calendar/current/e-6.html" TargetMode="External"/><Relationship Id="rId10" Type="http://schemas.openxmlformats.org/officeDocument/2006/relationships/hyperlink" Target="https://ucalgary-primo.hosted.exlibrisgroup.com/permalink/f/1p0s7n7/TN_cdi_askewsholts_vlebooks_9781316089378" TargetMode="External"/><Relationship Id="rId19" Type="http://schemas.openxmlformats.org/officeDocument/2006/relationships/hyperlink" Target="https://www.ucalgary.ca/legal-services/university-policies-procedures/student-accommodation-policy" TargetMode="External"/><Relationship Id="rId31" Type="http://schemas.openxmlformats.org/officeDocument/2006/relationships/hyperlink" Target="https://www.ucalgary.ca/legal-services/university-policies-procedures/sexual-and-gender-based-violence-policy" TargetMode="External"/><Relationship Id="rId4" Type="http://schemas.openxmlformats.org/officeDocument/2006/relationships/settings" Target="settings.xml"/><Relationship Id="rId9" Type="http://schemas.openxmlformats.org/officeDocument/2006/relationships/hyperlink" Target="mailto:grwilkin@ucalgary.ca" TargetMode="External"/><Relationship Id="rId14" Type="http://schemas.openxmlformats.org/officeDocument/2006/relationships/hyperlink" Target="https://arts.ucalgary.ca/history/current-students/undergraduate/student-handbook" TargetMode="External"/><Relationship Id="rId22" Type="http://schemas.openxmlformats.org/officeDocument/2006/relationships/hyperlink" Target="https://research.ucalgary.ca/conduct-research/ethics-compliance/human-research-ethics/conjoint-faculties-research-ethics-board" TargetMode="External"/><Relationship Id="rId27" Type="http://schemas.openxmlformats.org/officeDocument/2006/relationships/hyperlink" Target="http://library.ucalgary.ca/copyright" TargetMode="External"/><Relationship Id="rId30" Type="http://schemas.openxmlformats.org/officeDocument/2006/relationships/hyperlink" Target="https://asc.ucalgary.ca/marrs/draft-documents"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F49B-B8C3-4818-845E-714C58B9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16860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Hendrik Kraay</dc:creator>
  <cp:lastModifiedBy>Tara Jorgensen</cp:lastModifiedBy>
  <cp:revision>2</cp:revision>
  <cp:lastPrinted>2022-04-29T23:48:00Z</cp:lastPrinted>
  <dcterms:created xsi:type="dcterms:W3CDTF">2023-09-06T21:34:00Z</dcterms:created>
  <dcterms:modified xsi:type="dcterms:W3CDTF">2023-09-06T21:34:00Z</dcterms:modified>
</cp:coreProperties>
</file>