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CF0BE" w14:textId="77777777" w:rsidR="00560C42" w:rsidRPr="000E3548" w:rsidRDefault="000E3548" w:rsidP="000E3548">
      <w:pPr>
        <w:jc w:val="center"/>
        <w:rPr>
          <w:b/>
        </w:rPr>
      </w:pPr>
      <w:r w:rsidRPr="000E3548">
        <w:rPr>
          <w:b/>
        </w:rPr>
        <w:t>Information Bulletin #2</w:t>
      </w:r>
    </w:p>
    <w:p w14:paraId="2C7C53A9" w14:textId="77777777" w:rsidR="000E3548" w:rsidRDefault="000E3548" w:rsidP="000E3548">
      <w:pPr>
        <w:jc w:val="center"/>
        <w:rPr>
          <w:b/>
        </w:rPr>
      </w:pPr>
      <w:r w:rsidRPr="000E3548">
        <w:rPr>
          <w:b/>
        </w:rPr>
        <w:t>HOURS OF WORK AND SCHEDULING</w:t>
      </w:r>
    </w:p>
    <w:p w14:paraId="38A23B6F" w14:textId="77777777" w:rsidR="000E3548" w:rsidRDefault="000E3548" w:rsidP="000E3548">
      <w:pPr>
        <w:jc w:val="center"/>
        <w:rPr>
          <w:b/>
        </w:rPr>
      </w:pPr>
    </w:p>
    <w:p w14:paraId="42CEDE47" w14:textId="77777777" w:rsidR="000E3548" w:rsidRPr="000E3548" w:rsidRDefault="000E3548" w:rsidP="000E3548">
      <w:pPr>
        <w:rPr>
          <w:b/>
        </w:rPr>
      </w:pPr>
      <w:r>
        <w:rPr>
          <w:b/>
        </w:rPr>
        <w:t>Applicable Collective Agreement Provisions</w:t>
      </w:r>
    </w:p>
    <w:p w14:paraId="1532122D" w14:textId="77777777" w:rsidR="000E3548" w:rsidRDefault="000E3548"/>
    <w:tbl>
      <w:tblPr>
        <w:tblStyle w:val="TableGrid"/>
        <w:tblW w:w="9393" w:type="dxa"/>
        <w:tblLook w:val="04A0" w:firstRow="1" w:lastRow="0" w:firstColumn="1" w:lastColumn="0" w:noHBand="0" w:noVBand="1"/>
      </w:tblPr>
      <w:tblGrid>
        <w:gridCol w:w="1419"/>
        <w:gridCol w:w="5981"/>
        <w:gridCol w:w="1139"/>
        <w:gridCol w:w="854"/>
      </w:tblGrid>
      <w:tr w:rsidR="000E3548" w14:paraId="43FB04C8" w14:textId="77777777" w:rsidTr="009178A6">
        <w:trPr>
          <w:trHeight w:val="273"/>
        </w:trPr>
        <w:tc>
          <w:tcPr>
            <w:tcW w:w="1419" w:type="dxa"/>
          </w:tcPr>
          <w:p w14:paraId="3CF00DA8" w14:textId="77777777" w:rsidR="000E3548" w:rsidRPr="007E1971" w:rsidRDefault="000E3548" w:rsidP="009178A6">
            <w:pPr>
              <w:jc w:val="center"/>
              <w:rPr>
                <w:b/>
              </w:rPr>
            </w:pPr>
            <w:r w:rsidRPr="007E1971">
              <w:rPr>
                <w:b/>
              </w:rPr>
              <w:t>Article No.</w:t>
            </w:r>
          </w:p>
        </w:tc>
        <w:tc>
          <w:tcPr>
            <w:tcW w:w="5981" w:type="dxa"/>
          </w:tcPr>
          <w:p w14:paraId="6048C08B" w14:textId="77777777" w:rsidR="000E3548" w:rsidRPr="007E1971" w:rsidRDefault="000E3548" w:rsidP="009178A6">
            <w:pPr>
              <w:jc w:val="center"/>
              <w:rPr>
                <w:b/>
              </w:rPr>
            </w:pPr>
            <w:r w:rsidRPr="007E1971">
              <w:rPr>
                <w:b/>
              </w:rPr>
              <w:t>Provision</w:t>
            </w:r>
          </w:p>
        </w:tc>
        <w:tc>
          <w:tcPr>
            <w:tcW w:w="1139" w:type="dxa"/>
          </w:tcPr>
          <w:p w14:paraId="620F7E85" w14:textId="77777777" w:rsidR="000E3548" w:rsidRPr="007E1971" w:rsidRDefault="000E3548" w:rsidP="009178A6">
            <w:pPr>
              <w:jc w:val="center"/>
              <w:rPr>
                <w:b/>
              </w:rPr>
            </w:pPr>
            <w:r w:rsidRPr="007E1971">
              <w:rPr>
                <w:b/>
              </w:rPr>
              <w:t>Part</w:t>
            </w:r>
          </w:p>
        </w:tc>
        <w:tc>
          <w:tcPr>
            <w:tcW w:w="854" w:type="dxa"/>
          </w:tcPr>
          <w:p w14:paraId="07758EFC" w14:textId="77777777" w:rsidR="000E3548" w:rsidRPr="007E1971" w:rsidRDefault="000E3548" w:rsidP="009178A6">
            <w:pPr>
              <w:jc w:val="center"/>
              <w:rPr>
                <w:b/>
              </w:rPr>
            </w:pPr>
            <w:r w:rsidRPr="007E1971">
              <w:rPr>
                <w:b/>
              </w:rPr>
              <w:t>Page</w:t>
            </w:r>
          </w:p>
        </w:tc>
      </w:tr>
      <w:tr w:rsidR="000E3548" w14:paraId="6E7AC2DA" w14:textId="77777777" w:rsidTr="009178A6">
        <w:trPr>
          <w:trHeight w:val="258"/>
        </w:trPr>
        <w:tc>
          <w:tcPr>
            <w:tcW w:w="1419" w:type="dxa"/>
          </w:tcPr>
          <w:p w14:paraId="0FF33F15" w14:textId="77777777" w:rsidR="000E3548" w:rsidRDefault="000E3548" w:rsidP="009178A6">
            <w:pPr>
              <w:jc w:val="center"/>
            </w:pPr>
            <w:r>
              <w:t>OP18</w:t>
            </w:r>
          </w:p>
        </w:tc>
        <w:tc>
          <w:tcPr>
            <w:tcW w:w="5981" w:type="dxa"/>
          </w:tcPr>
          <w:p w14:paraId="01C7B49E" w14:textId="77777777" w:rsidR="000E3548" w:rsidRDefault="000E3548" w:rsidP="009178A6">
            <w:r>
              <w:t>Hours of Work - Operations</w:t>
            </w:r>
          </w:p>
        </w:tc>
        <w:tc>
          <w:tcPr>
            <w:tcW w:w="1139" w:type="dxa"/>
          </w:tcPr>
          <w:p w14:paraId="6568B669" w14:textId="77777777" w:rsidR="000E3548" w:rsidRDefault="000E3548" w:rsidP="009178A6">
            <w:pPr>
              <w:jc w:val="center"/>
            </w:pPr>
            <w:r>
              <w:t>B</w:t>
            </w:r>
          </w:p>
        </w:tc>
        <w:tc>
          <w:tcPr>
            <w:tcW w:w="854" w:type="dxa"/>
          </w:tcPr>
          <w:p w14:paraId="7D2AD001" w14:textId="77777777" w:rsidR="000E3548" w:rsidRDefault="000E3548" w:rsidP="009178A6">
            <w:pPr>
              <w:jc w:val="center"/>
            </w:pPr>
            <w:r>
              <w:t>71</w:t>
            </w:r>
          </w:p>
        </w:tc>
      </w:tr>
      <w:tr w:rsidR="000E3548" w14:paraId="044DE35E" w14:textId="77777777" w:rsidTr="009178A6">
        <w:trPr>
          <w:trHeight w:val="273"/>
        </w:trPr>
        <w:tc>
          <w:tcPr>
            <w:tcW w:w="1419" w:type="dxa"/>
          </w:tcPr>
          <w:p w14:paraId="76921536" w14:textId="77777777" w:rsidR="000E3548" w:rsidRDefault="000E3548" w:rsidP="009178A6">
            <w:pPr>
              <w:jc w:val="center"/>
            </w:pPr>
            <w:r>
              <w:t>FXT18</w:t>
            </w:r>
          </w:p>
        </w:tc>
        <w:tc>
          <w:tcPr>
            <w:tcW w:w="5981" w:type="dxa"/>
          </w:tcPr>
          <w:p w14:paraId="5D44A7BC" w14:textId="77777777" w:rsidR="000E3548" w:rsidRDefault="000E3548" w:rsidP="009178A6">
            <w:r>
              <w:t>Hours of Work – Fixed Term</w:t>
            </w:r>
          </w:p>
        </w:tc>
        <w:tc>
          <w:tcPr>
            <w:tcW w:w="1139" w:type="dxa"/>
          </w:tcPr>
          <w:p w14:paraId="2DE3BF86" w14:textId="77777777" w:rsidR="000E3548" w:rsidRDefault="000E3548" w:rsidP="009178A6">
            <w:pPr>
              <w:jc w:val="center"/>
            </w:pPr>
            <w:r>
              <w:t>C</w:t>
            </w:r>
          </w:p>
        </w:tc>
        <w:tc>
          <w:tcPr>
            <w:tcW w:w="854" w:type="dxa"/>
          </w:tcPr>
          <w:p w14:paraId="1537448F" w14:textId="77777777" w:rsidR="000E3548" w:rsidRDefault="000E3548" w:rsidP="009178A6">
            <w:pPr>
              <w:jc w:val="center"/>
            </w:pPr>
            <w:r>
              <w:t>103</w:t>
            </w:r>
          </w:p>
        </w:tc>
      </w:tr>
      <w:tr w:rsidR="000E3548" w14:paraId="59893383" w14:textId="77777777" w:rsidTr="009178A6">
        <w:trPr>
          <w:trHeight w:val="258"/>
        </w:trPr>
        <w:tc>
          <w:tcPr>
            <w:tcW w:w="1419" w:type="dxa"/>
          </w:tcPr>
          <w:p w14:paraId="3B183037" w14:textId="77777777" w:rsidR="000E3548" w:rsidRDefault="000E3548" w:rsidP="009178A6">
            <w:pPr>
              <w:jc w:val="center"/>
            </w:pPr>
            <w:r>
              <w:t xml:space="preserve">OP LOUs </w:t>
            </w:r>
          </w:p>
        </w:tc>
        <w:tc>
          <w:tcPr>
            <w:tcW w:w="5981" w:type="dxa"/>
          </w:tcPr>
          <w:p w14:paraId="29FE881F" w14:textId="77777777" w:rsidR="000E3548" w:rsidRDefault="000E3548" w:rsidP="009178A6">
            <w:r>
              <w:t xml:space="preserve">Hours of Work of Irregular Nature </w:t>
            </w:r>
          </w:p>
        </w:tc>
        <w:tc>
          <w:tcPr>
            <w:tcW w:w="1139" w:type="dxa"/>
          </w:tcPr>
          <w:p w14:paraId="24B8D472" w14:textId="77777777" w:rsidR="000E3548" w:rsidRDefault="000E3548" w:rsidP="009178A6">
            <w:pPr>
              <w:jc w:val="center"/>
            </w:pPr>
            <w:r>
              <w:t>B</w:t>
            </w:r>
          </w:p>
        </w:tc>
        <w:tc>
          <w:tcPr>
            <w:tcW w:w="854" w:type="dxa"/>
          </w:tcPr>
          <w:p w14:paraId="61BAE251" w14:textId="77777777" w:rsidR="000E3548" w:rsidRDefault="000E3548" w:rsidP="009178A6">
            <w:pPr>
              <w:jc w:val="center"/>
            </w:pPr>
            <w:r>
              <w:t>84</w:t>
            </w:r>
          </w:p>
        </w:tc>
      </w:tr>
    </w:tbl>
    <w:p w14:paraId="7F8A0C9E" w14:textId="77777777" w:rsidR="000E3548" w:rsidRDefault="000E3548"/>
    <w:p w14:paraId="6E12F60B" w14:textId="77777777" w:rsidR="000E3548" w:rsidRDefault="000E3548">
      <w:r>
        <w:rPr>
          <w:b/>
        </w:rPr>
        <w:t>General Principles</w:t>
      </w:r>
    </w:p>
    <w:p w14:paraId="6875EC85" w14:textId="77777777" w:rsidR="000E3548" w:rsidRDefault="000E3548"/>
    <w:p w14:paraId="0EFF9325" w14:textId="69433460" w:rsidR="00EB508C" w:rsidRDefault="000E3548" w:rsidP="00EB508C">
      <w:pPr>
        <w:pStyle w:val="ListParagraph"/>
        <w:numPr>
          <w:ilvl w:val="0"/>
          <w:numId w:val="1"/>
        </w:numPr>
      </w:pPr>
      <w:r>
        <w:t>The Collective Agreement contains provisions related to hours of work and scheduling.</w:t>
      </w:r>
      <w:r w:rsidR="00EB508C">
        <w:t xml:space="preserve"> </w:t>
      </w:r>
      <w:r w:rsidR="00F174A6">
        <w:t xml:space="preserve">Lack of adherence to the scheduling provisions may </w:t>
      </w:r>
      <w:r w:rsidR="00162259">
        <w:t xml:space="preserve">result in </w:t>
      </w:r>
      <w:bookmarkStart w:id="0" w:name="_GoBack"/>
      <w:bookmarkEnd w:id="0"/>
      <w:r w:rsidR="00F174A6">
        <w:t>additional costs.</w:t>
      </w:r>
    </w:p>
    <w:p w14:paraId="7DBCAA56" w14:textId="77777777" w:rsidR="00EB508C" w:rsidRDefault="00EB508C" w:rsidP="00EB508C">
      <w:pPr>
        <w:pStyle w:val="ListParagraph"/>
      </w:pPr>
    </w:p>
    <w:p w14:paraId="49DF926A" w14:textId="77777777" w:rsidR="00EB508C" w:rsidRDefault="00EB508C" w:rsidP="00EB508C">
      <w:pPr>
        <w:pStyle w:val="ListParagraph"/>
        <w:numPr>
          <w:ilvl w:val="0"/>
          <w:numId w:val="1"/>
        </w:numPr>
      </w:pPr>
      <w:r>
        <w:t xml:space="preserve">There are specific distinctions between the scheduling requirements for Operations and Fixed-Term Employees. </w:t>
      </w:r>
    </w:p>
    <w:p w14:paraId="2100B903" w14:textId="77777777" w:rsidR="00EB508C" w:rsidRDefault="00EB508C" w:rsidP="00EB508C">
      <w:pPr>
        <w:pStyle w:val="ListParagraph"/>
      </w:pPr>
    </w:p>
    <w:p w14:paraId="33C66D06" w14:textId="77777777" w:rsidR="00EB508C" w:rsidRDefault="00EB508C" w:rsidP="00EB508C">
      <w:pPr>
        <w:pStyle w:val="ListParagraph"/>
        <w:numPr>
          <w:ilvl w:val="0"/>
          <w:numId w:val="1"/>
        </w:numPr>
      </w:pPr>
      <w:r>
        <w:t xml:space="preserve">There are also differences in scheduling requirements between classification of employees. </w:t>
      </w:r>
    </w:p>
    <w:p w14:paraId="5E515D37" w14:textId="77777777" w:rsidR="00EB508C" w:rsidRDefault="00EB508C" w:rsidP="00EB508C"/>
    <w:p w14:paraId="7271DF3E" w14:textId="77777777" w:rsidR="00EB508C" w:rsidRPr="009178A4" w:rsidRDefault="00EB508C" w:rsidP="00EB508C">
      <w:pPr>
        <w:rPr>
          <w:b/>
        </w:rPr>
      </w:pPr>
      <w:r w:rsidRPr="009178A4">
        <w:rPr>
          <w:b/>
        </w:rPr>
        <w:t>Entitlements</w:t>
      </w:r>
    </w:p>
    <w:p w14:paraId="69E0FB50" w14:textId="77777777" w:rsidR="00EB508C" w:rsidRDefault="00EB508C" w:rsidP="00EB508C"/>
    <w:p w14:paraId="77161748" w14:textId="1BB99BF5" w:rsidR="00EB508C" w:rsidRDefault="00EB508C" w:rsidP="00EB508C">
      <w:pPr>
        <w:pStyle w:val="ListParagraph"/>
        <w:numPr>
          <w:ilvl w:val="0"/>
          <w:numId w:val="2"/>
        </w:numPr>
      </w:pPr>
      <w:r>
        <w:t xml:space="preserve">Normal hours of work for </w:t>
      </w:r>
      <w:r w:rsidR="00F174A6">
        <w:t>Regular F</w:t>
      </w:r>
      <w:r>
        <w:t>ull-time, Sessional, Temporary, Temporary Relief, and Limited Term employees are 7 or 7.5 hours per day and 35 or 37.5 hours per week.</w:t>
      </w:r>
      <w:r w:rsidR="009178A4">
        <w:rPr>
          <w:color w:val="FF0000"/>
        </w:rPr>
        <w:t xml:space="preserve"> </w:t>
      </w:r>
    </w:p>
    <w:p w14:paraId="25882297" w14:textId="77777777" w:rsidR="00EB508C" w:rsidRDefault="00EB508C" w:rsidP="00EB508C">
      <w:pPr>
        <w:pStyle w:val="ListParagraph"/>
        <w:ind w:left="765"/>
      </w:pPr>
    </w:p>
    <w:p w14:paraId="72A3B107" w14:textId="77777777" w:rsidR="00EB508C" w:rsidRDefault="00EB508C" w:rsidP="00EB508C">
      <w:pPr>
        <w:pStyle w:val="ListParagraph"/>
        <w:numPr>
          <w:ilvl w:val="0"/>
          <w:numId w:val="2"/>
        </w:numPr>
      </w:pPr>
      <w:r>
        <w:t>For operations requiring continuous shifts, normal hours of work are 8 hours per day and 40 hours per week.</w:t>
      </w:r>
    </w:p>
    <w:p w14:paraId="0CCB3FE6" w14:textId="77777777" w:rsidR="00EB508C" w:rsidRDefault="00EB508C" w:rsidP="00EB508C">
      <w:pPr>
        <w:pStyle w:val="ListParagraph"/>
      </w:pPr>
    </w:p>
    <w:p w14:paraId="6C5F12D3" w14:textId="77777777" w:rsidR="00EB508C" w:rsidRDefault="00EB508C" w:rsidP="00EB508C">
      <w:pPr>
        <w:pStyle w:val="ListParagraph"/>
        <w:numPr>
          <w:ilvl w:val="0"/>
          <w:numId w:val="2"/>
        </w:numPr>
      </w:pPr>
      <w:r>
        <w:t>Daily hours of work run consecutively with a minimum of 10 hours off between shifts, unless mutually agreed; overtime is worked, or there is an emergency.</w:t>
      </w:r>
    </w:p>
    <w:p w14:paraId="1662124E" w14:textId="77777777" w:rsidR="00EB508C" w:rsidRDefault="00EB508C" w:rsidP="00EB508C">
      <w:pPr>
        <w:pStyle w:val="ListParagraph"/>
      </w:pPr>
    </w:p>
    <w:p w14:paraId="4B64F24F" w14:textId="77777777" w:rsidR="00EB508C" w:rsidRDefault="00EB508C" w:rsidP="00EB508C">
      <w:pPr>
        <w:pStyle w:val="ListParagraph"/>
        <w:numPr>
          <w:ilvl w:val="0"/>
          <w:numId w:val="2"/>
        </w:numPr>
      </w:pPr>
      <w:r>
        <w:t xml:space="preserve">The work week consists of 5 workdays with 2 consecutive days off. </w:t>
      </w:r>
    </w:p>
    <w:p w14:paraId="7AB08E79" w14:textId="77777777" w:rsidR="00EB508C" w:rsidRDefault="00EB508C" w:rsidP="00EB508C">
      <w:pPr>
        <w:pStyle w:val="ListParagraph"/>
      </w:pPr>
    </w:p>
    <w:p w14:paraId="6256A6A0" w14:textId="1B00ACA3" w:rsidR="00EB508C" w:rsidRDefault="00EB508C" w:rsidP="00EB508C">
      <w:pPr>
        <w:pStyle w:val="ListParagraph"/>
        <w:numPr>
          <w:ilvl w:val="0"/>
          <w:numId w:val="2"/>
        </w:numPr>
      </w:pPr>
      <w:r>
        <w:t>Normal hours of work for part-time</w:t>
      </w:r>
      <w:r w:rsidR="00F174A6">
        <w:t xml:space="preserve"> (Regular</w:t>
      </w:r>
      <w:r>
        <w:t>, Sessional, Temporary, Temporary Relief, and Limited Term</w:t>
      </w:r>
      <w:r w:rsidR="00F174A6">
        <w:t>)</w:t>
      </w:r>
      <w:r>
        <w:t xml:space="preserve"> employees are fixed and set out in the Letter of Offer. </w:t>
      </w:r>
      <w:r w:rsidRPr="00F174A6">
        <w:rPr>
          <w:color w:val="000000" w:themeColor="text1"/>
        </w:rPr>
        <w:t xml:space="preserve">Fixed </w:t>
      </w:r>
      <w:r w:rsidR="00F174A6" w:rsidRPr="00F174A6">
        <w:rPr>
          <w:color w:val="000000" w:themeColor="text1"/>
        </w:rPr>
        <w:t xml:space="preserve">or set </w:t>
      </w:r>
      <w:r>
        <w:t>hours of work may vary between</w:t>
      </w:r>
      <w:r w:rsidR="009178A4">
        <w:t xml:space="preserve"> </w:t>
      </w:r>
      <w:r>
        <w:t xml:space="preserve">part-time employees. </w:t>
      </w:r>
    </w:p>
    <w:p w14:paraId="31432CE8" w14:textId="77777777" w:rsidR="00EB508C" w:rsidRDefault="00EB508C" w:rsidP="00EB508C">
      <w:pPr>
        <w:pStyle w:val="ListParagraph"/>
      </w:pPr>
    </w:p>
    <w:p w14:paraId="791E7F84" w14:textId="77777777" w:rsidR="00EB508C" w:rsidRDefault="00EB508C" w:rsidP="00EB508C">
      <w:pPr>
        <w:pStyle w:val="ListParagraph"/>
        <w:numPr>
          <w:ilvl w:val="0"/>
          <w:numId w:val="2"/>
        </w:numPr>
      </w:pPr>
      <w:r>
        <w:t xml:space="preserve">Recurring Part-Time, Casual, or Student employees </w:t>
      </w:r>
      <w:r w:rsidR="009178A4">
        <w:t xml:space="preserve">have inconsistent hours of work and do not adhere to a regular schedule. </w:t>
      </w:r>
    </w:p>
    <w:p w14:paraId="220EF6D9" w14:textId="77777777" w:rsidR="009178A4" w:rsidRDefault="009178A4" w:rsidP="009178A4">
      <w:pPr>
        <w:pStyle w:val="ListParagraph"/>
      </w:pPr>
    </w:p>
    <w:p w14:paraId="33209B1B" w14:textId="011FC572" w:rsidR="009178A4" w:rsidRDefault="009178A4" w:rsidP="00EB508C">
      <w:pPr>
        <w:pStyle w:val="ListParagraph"/>
        <w:numPr>
          <w:ilvl w:val="0"/>
          <w:numId w:val="2"/>
        </w:numPr>
      </w:pPr>
      <w:r>
        <w:t xml:space="preserve">Hours of work that are irregular or uncontrolled by nature of work performed are subject to specific Letters of Understanding in the Collective Agreement that </w:t>
      </w:r>
      <w:r w:rsidR="008B4B86">
        <w:t xml:space="preserve">establish their unique hours of work. </w:t>
      </w:r>
    </w:p>
    <w:p w14:paraId="3332C492" w14:textId="77777777" w:rsidR="00AF337C" w:rsidRDefault="00AF337C" w:rsidP="00AF337C">
      <w:pPr>
        <w:pStyle w:val="ListParagraph"/>
      </w:pPr>
    </w:p>
    <w:p w14:paraId="1E25BBFF" w14:textId="77777777" w:rsidR="00D4618C" w:rsidRDefault="00D4618C" w:rsidP="00AF337C">
      <w:pPr>
        <w:rPr>
          <w:b/>
        </w:rPr>
      </w:pPr>
    </w:p>
    <w:p w14:paraId="16A7A2F6" w14:textId="77777777" w:rsidR="00D4618C" w:rsidRDefault="00D4618C" w:rsidP="00AF337C">
      <w:pPr>
        <w:rPr>
          <w:b/>
        </w:rPr>
      </w:pPr>
    </w:p>
    <w:p w14:paraId="3AE66162" w14:textId="28A9D6F1" w:rsidR="00AF337C" w:rsidRDefault="00AF337C" w:rsidP="00AF337C">
      <w:pPr>
        <w:rPr>
          <w:b/>
        </w:rPr>
      </w:pPr>
      <w:r w:rsidRPr="008C0A3D">
        <w:rPr>
          <w:b/>
        </w:rPr>
        <w:lastRenderedPageBreak/>
        <w:t>Schedule Changes</w:t>
      </w:r>
    </w:p>
    <w:p w14:paraId="713B90D2" w14:textId="77777777" w:rsidR="008C0A3D" w:rsidRPr="008C0A3D" w:rsidRDefault="008C0A3D" w:rsidP="00AF337C">
      <w:pPr>
        <w:rPr>
          <w:b/>
        </w:rPr>
      </w:pPr>
    </w:p>
    <w:p w14:paraId="710AB284" w14:textId="4ADA2F95" w:rsidR="00AF337C" w:rsidRDefault="00AF337C" w:rsidP="00AF337C">
      <w:pPr>
        <w:pStyle w:val="ListParagraph"/>
        <w:numPr>
          <w:ilvl w:val="0"/>
          <w:numId w:val="3"/>
        </w:numPr>
      </w:pPr>
      <w:r>
        <w:t xml:space="preserve">Where a schedule change is required, operating employees must be advised 14-days in advance, unless there is an emergency, a shift change is requested, or an accommodation requires one. </w:t>
      </w:r>
    </w:p>
    <w:p w14:paraId="2F6054FA" w14:textId="77777777" w:rsidR="00AF337C" w:rsidRDefault="00AF337C" w:rsidP="00AF337C">
      <w:pPr>
        <w:pStyle w:val="ListParagraph"/>
      </w:pPr>
    </w:p>
    <w:p w14:paraId="1E1FF3D7" w14:textId="050AF688" w:rsidR="00AF337C" w:rsidRDefault="00AF337C" w:rsidP="00AF337C">
      <w:pPr>
        <w:pStyle w:val="ListParagraph"/>
        <w:numPr>
          <w:ilvl w:val="0"/>
          <w:numId w:val="3"/>
        </w:numPr>
      </w:pPr>
      <w:r>
        <w:t xml:space="preserve">Temporary changes to an employee’s start time, workday, or work week are permitted for research or operational requirements. A permanent schedule change requires 7 days’ written notice. If irregular hours are required, approval from both Human Resources and AUPE is required. </w:t>
      </w:r>
    </w:p>
    <w:p w14:paraId="25AB2DAF" w14:textId="77777777" w:rsidR="00F316AE" w:rsidRDefault="00F316AE" w:rsidP="00F316AE"/>
    <w:p w14:paraId="72E58A76" w14:textId="77777777" w:rsidR="00F316AE" w:rsidRPr="009E2409" w:rsidRDefault="00F316AE" w:rsidP="00F316AE">
      <w:pPr>
        <w:rPr>
          <w:b/>
        </w:rPr>
      </w:pPr>
      <w:r w:rsidRPr="009E2409">
        <w:rPr>
          <w:b/>
        </w:rPr>
        <w:t>FAQs</w:t>
      </w:r>
    </w:p>
    <w:p w14:paraId="26F129C9" w14:textId="77777777" w:rsidR="00F316AE" w:rsidRDefault="00F316AE" w:rsidP="00F316AE"/>
    <w:p w14:paraId="7F9281FC" w14:textId="70BC7DA3" w:rsidR="00F316AE" w:rsidRPr="009E2409" w:rsidRDefault="00F316AE" w:rsidP="00F316AE">
      <w:pPr>
        <w:pStyle w:val="ListParagraph"/>
        <w:numPr>
          <w:ilvl w:val="0"/>
          <w:numId w:val="5"/>
        </w:numPr>
        <w:rPr>
          <w:i/>
        </w:rPr>
      </w:pPr>
      <w:r w:rsidRPr="009E2409">
        <w:rPr>
          <w:i/>
        </w:rPr>
        <w:t>I’m concerned I no longer have the flexibility to schedule my employees they way I need now that I have to follow the Collective Agreement. How should I handle scheduling going forward?</w:t>
      </w:r>
    </w:p>
    <w:p w14:paraId="0A2CBAD9" w14:textId="7108C835" w:rsidR="00F316AE" w:rsidRDefault="00F316AE" w:rsidP="00F316AE">
      <w:pPr>
        <w:pStyle w:val="ListParagraph"/>
      </w:pPr>
    </w:p>
    <w:p w14:paraId="78F58DFD" w14:textId="6B3016E2" w:rsidR="00F316AE" w:rsidRDefault="00F316AE" w:rsidP="00F316AE">
      <w:pPr>
        <w:pStyle w:val="ListParagraph"/>
      </w:pPr>
      <w:r>
        <w:t>The Collective Agreement provides certain mechanisms to employ a more flexible schedule. If normal scheduling rules are incongruent with your operational needs or your staff have expressed an interest in an alternate scheduling arrangement, please consult Human Resources. There are options available, but implementation of thes</w:t>
      </w:r>
      <w:r w:rsidR="00BA34DE">
        <w:t>e</w:t>
      </w:r>
      <w:r>
        <w:t xml:space="preserve"> involve a process. </w:t>
      </w:r>
    </w:p>
    <w:p w14:paraId="19DBDFF6" w14:textId="77777777" w:rsidR="00F316AE" w:rsidRPr="009E2409" w:rsidRDefault="00F316AE" w:rsidP="00F316AE">
      <w:pPr>
        <w:pStyle w:val="ListParagraph"/>
        <w:rPr>
          <w:i/>
        </w:rPr>
      </w:pPr>
    </w:p>
    <w:p w14:paraId="3AB8237F" w14:textId="656632E9" w:rsidR="00F316AE" w:rsidRPr="009E2409" w:rsidRDefault="00F316AE" w:rsidP="00F316AE">
      <w:pPr>
        <w:pStyle w:val="ListParagraph"/>
        <w:numPr>
          <w:ilvl w:val="0"/>
          <w:numId w:val="5"/>
        </w:numPr>
        <w:rPr>
          <w:i/>
        </w:rPr>
      </w:pPr>
      <w:r w:rsidRPr="009E2409">
        <w:rPr>
          <w:i/>
        </w:rPr>
        <w:t xml:space="preserve"> An employee in my department approached me about working from home. Is this possible?</w:t>
      </w:r>
    </w:p>
    <w:p w14:paraId="1CBC0976" w14:textId="74C3AE29" w:rsidR="00F316AE" w:rsidRDefault="00F316AE" w:rsidP="00F316AE">
      <w:pPr>
        <w:pStyle w:val="ListParagraph"/>
      </w:pPr>
    </w:p>
    <w:p w14:paraId="11FD40E0" w14:textId="190682E1" w:rsidR="00F316AE" w:rsidRPr="00D315CC" w:rsidRDefault="00F316AE" w:rsidP="00F316AE">
      <w:pPr>
        <w:pStyle w:val="ListParagraph"/>
      </w:pPr>
      <w:r>
        <w:t>Work-from-home arrangements are not contemplated in the Collective Agreement and are</w:t>
      </w:r>
      <w:r w:rsidR="00D315CC">
        <w:t xml:space="preserve"> therefore</w:t>
      </w:r>
      <w:r>
        <w:t xml:space="preserve"> subject to managerial discretion. Each request is decided on a case-by-case basis, and consideration should be done in consultation with Human Resources.</w:t>
      </w:r>
      <w:r w:rsidRPr="00D315CC">
        <w:t xml:space="preserve"> Options are available, but sometime</w:t>
      </w:r>
      <w:r w:rsidR="00D315CC">
        <w:t>s</w:t>
      </w:r>
      <w:r w:rsidRPr="00D315CC">
        <w:t xml:space="preserve"> involve additional considerations like WCB, Human Rights, etc. </w:t>
      </w:r>
    </w:p>
    <w:p w14:paraId="3AFD25CB" w14:textId="77777777" w:rsidR="00F316AE" w:rsidRDefault="00F316AE" w:rsidP="00F316AE">
      <w:pPr>
        <w:pStyle w:val="ListParagraph"/>
      </w:pPr>
    </w:p>
    <w:p w14:paraId="7C60FC9D" w14:textId="2FC80AC6" w:rsidR="009E2409" w:rsidRPr="009E2409" w:rsidRDefault="009E2409" w:rsidP="009E2409">
      <w:pPr>
        <w:pStyle w:val="ListParagraph"/>
        <w:numPr>
          <w:ilvl w:val="0"/>
          <w:numId w:val="5"/>
        </w:numPr>
        <w:rPr>
          <w:i/>
        </w:rPr>
      </w:pPr>
      <w:r w:rsidRPr="009E2409">
        <w:rPr>
          <w:i/>
        </w:rPr>
        <w:t>If one of my employees is scheduled to work until 11:00 pm, can I schedule them to start their next shift at 7:00 am the following morning?</w:t>
      </w:r>
    </w:p>
    <w:p w14:paraId="28520B99" w14:textId="6E93B2DD" w:rsidR="009E2409" w:rsidRDefault="009E2409" w:rsidP="009E2409">
      <w:pPr>
        <w:pStyle w:val="ListParagraph"/>
      </w:pPr>
    </w:p>
    <w:p w14:paraId="3341B0A9" w14:textId="2C2CD9CC" w:rsidR="009E2409" w:rsidRDefault="009E2409" w:rsidP="009E2409">
      <w:pPr>
        <w:pStyle w:val="ListParagraph"/>
      </w:pPr>
      <w:r>
        <w:t xml:space="preserve">Yes, however you must pay overtime at the applicable rate for all hours worked before 9:00 am. </w:t>
      </w:r>
    </w:p>
    <w:p w14:paraId="540F2E0B" w14:textId="1C04C608" w:rsidR="00F316AE" w:rsidRDefault="00F316AE" w:rsidP="008C0A3D">
      <w:pPr>
        <w:pStyle w:val="ListParagraph"/>
      </w:pPr>
    </w:p>
    <w:p w14:paraId="2CB6177F" w14:textId="77777777" w:rsidR="009E2409" w:rsidRPr="000E3548" w:rsidRDefault="009E2409" w:rsidP="009E2409"/>
    <w:sectPr w:rsidR="009E2409" w:rsidRPr="000E354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1D995" w14:textId="77777777" w:rsidR="0068613C" w:rsidRDefault="0068613C" w:rsidP="008C0A3D">
      <w:r>
        <w:separator/>
      </w:r>
    </w:p>
  </w:endnote>
  <w:endnote w:type="continuationSeparator" w:id="0">
    <w:p w14:paraId="2253182B" w14:textId="77777777" w:rsidR="0068613C" w:rsidRDefault="0068613C" w:rsidP="008C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4B521" w14:textId="77777777" w:rsidR="008C0A3D" w:rsidRDefault="008C0A3D" w:rsidP="008C0A3D">
    <w:pPr>
      <w:pStyle w:val="Footer"/>
      <w:rPr>
        <w:sz w:val="18"/>
        <w:szCs w:val="18"/>
      </w:rPr>
    </w:pPr>
    <w:r>
      <w:rPr>
        <w:sz w:val="18"/>
        <w:szCs w:val="18"/>
      </w:rPr>
      <w:t xml:space="preserve">Information Bulletins are an aid for supervisors and managers who may be unfamiliar with managing in a unionized workplace and are in no way a substitute for advice from Human Resources and/or Labour Relations. </w:t>
    </w:r>
  </w:p>
  <w:p w14:paraId="0B8CB0A9" w14:textId="485AC34D" w:rsidR="008C0A3D" w:rsidRDefault="008C0A3D">
    <w:pPr>
      <w:pStyle w:val="Footer"/>
    </w:pPr>
  </w:p>
  <w:p w14:paraId="7AF68761" w14:textId="77777777" w:rsidR="008C0A3D" w:rsidRDefault="008C0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610EA" w14:textId="77777777" w:rsidR="0068613C" w:rsidRDefault="0068613C" w:rsidP="008C0A3D">
      <w:r>
        <w:separator/>
      </w:r>
    </w:p>
  </w:footnote>
  <w:footnote w:type="continuationSeparator" w:id="0">
    <w:p w14:paraId="4C57C748" w14:textId="77777777" w:rsidR="0068613C" w:rsidRDefault="0068613C" w:rsidP="008C0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44E"/>
    <w:multiLevelType w:val="hybridMultilevel"/>
    <w:tmpl w:val="9F82EA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0E6517"/>
    <w:multiLevelType w:val="hybridMultilevel"/>
    <w:tmpl w:val="C080A69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6E44E8"/>
    <w:multiLevelType w:val="hybridMultilevel"/>
    <w:tmpl w:val="7DFEF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0435758"/>
    <w:multiLevelType w:val="hybridMultilevel"/>
    <w:tmpl w:val="15DC06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A6024C9"/>
    <w:multiLevelType w:val="hybridMultilevel"/>
    <w:tmpl w:val="B838EFA4"/>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548"/>
    <w:rsid w:val="000E3548"/>
    <w:rsid w:val="00162259"/>
    <w:rsid w:val="001815FD"/>
    <w:rsid w:val="003366A9"/>
    <w:rsid w:val="0036672B"/>
    <w:rsid w:val="00457914"/>
    <w:rsid w:val="004C5F10"/>
    <w:rsid w:val="00560C42"/>
    <w:rsid w:val="0068613C"/>
    <w:rsid w:val="0089492D"/>
    <w:rsid w:val="008B4B86"/>
    <w:rsid w:val="008C0A3D"/>
    <w:rsid w:val="009178A4"/>
    <w:rsid w:val="009E2409"/>
    <w:rsid w:val="00AF337C"/>
    <w:rsid w:val="00BA34DE"/>
    <w:rsid w:val="00D315CC"/>
    <w:rsid w:val="00D4618C"/>
    <w:rsid w:val="00EB508C"/>
    <w:rsid w:val="00F174A6"/>
    <w:rsid w:val="00F316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371E1"/>
  <w15:chartTrackingRefBased/>
  <w15:docId w15:val="{62E9455A-4405-4FE4-B1B1-D039AE3A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3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548"/>
    <w:pPr>
      <w:ind w:left="720"/>
      <w:contextualSpacing/>
    </w:pPr>
  </w:style>
  <w:style w:type="character" w:styleId="CommentReference">
    <w:name w:val="annotation reference"/>
    <w:basedOn w:val="DefaultParagraphFont"/>
    <w:uiPriority w:val="99"/>
    <w:semiHidden/>
    <w:unhideWhenUsed/>
    <w:rsid w:val="009178A4"/>
    <w:rPr>
      <w:sz w:val="16"/>
      <w:szCs w:val="16"/>
    </w:rPr>
  </w:style>
  <w:style w:type="paragraph" w:styleId="CommentText">
    <w:name w:val="annotation text"/>
    <w:basedOn w:val="Normal"/>
    <w:link w:val="CommentTextChar"/>
    <w:uiPriority w:val="99"/>
    <w:semiHidden/>
    <w:unhideWhenUsed/>
    <w:rsid w:val="009178A4"/>
    <w:rPr>
      <w:sz w:val="20"/>
      <w:szCs w:val="20"/>
    </w:rPr>
  </w:style>
  <w:style w:type="character" w:customStyle="1" w:styleId="CommentTextChar">
    <w:name w:val="Comment Text Char"/>
    <w:basedOn w:val="DefaultParagraphFont"/>
    <w:link w:val="CommentText"/>
    <w:uiPriority w:val="99"/>
    <w:semiHidden/>
    <w:rsid w:val="009178A4"/>
    <w:rPr>
      <w:sz w:val="20"/>
      <w:szCs w:val="20"/>
    </w:rPr>
  </w:style>
  <w:style w:type="paragraph" w:styleId="CommentSubject">
    <w:name w:val="annotation subject"/>
    <w:basedOn w:val="CommentText"/>
    <w:next w:val="CommentText"/>
    <w:link w:val="CommentSubjectChar"/>
    <w:uiPriority w:val="99"/>
    <w:semiHidden/>
    <w:unhideWhenUsed/>
    <w:rsid w:val="009178A4"/>
    <w:rPr>
      <w:b/>
      <w:bCs/>
    </w:rPr>
  </w:style>
  <w:style w:type="character" w:customStyle="1" w:styleId="CommentSubjectChar">
    <w:name w:val="Comment Subject Char"/>
    <w:basedOn w:val="CommentTextChar"/>
    <w:link w:val="CommentSubject"/>
    <w:uiPriority w:val="99"/>
    <w:semiHidden/>
    <w:rsid w:val="009178A4"/>
    <w:rPr>
      <w:b/>
      <w:bCs/>
      <w:sz w:val="20"/>
      <w:szCs w:val="20"/>
    </w:rPr>
  </w:style>
  <w:style w:type="paragraph" w:styleId="BalloonText">
    <w:name w:val="Balloon Text"/>
    <w:basedOn w:val="Normal"/>
    <w:link w:val="BalloonTextChar"/>
    <w:uiPriority w:val="99"/>
    <w:semiHidden/>
    <w:unhideWhenUsed/>
    <w:rsid w:val="009178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8A4"/>
    <w:rPr>
      <w:rFonts w:ascii="Segoe UI" w:hAnsi="Segoe UI" w:cs="Segoe UI"/>
      <w:sz w:val="18"/>
      <w:szCs w:val="18"/>
    </w:rPr>
  </w:style>
  <w:style w:type="paragraph" w:styleId="Header">
    <w:name w:val="header"/>
    <w:basedOn w:val="Normal"/>
    <w:link w:val="HeaderChar"/>
    <w:uiPriority w:val="99"/>
    <w:unhideWhenUsed/>
    <w:rsid w:val="008C0A3D"/>
    <w:pPr>
      <w:tabs>
        <w:tab w:val="center" w:pos="4680"/>
        <w:tab w:val="right" w:pos="9360"/>
      </w:tabs>
    </w:pPr>
  </w:style>
  <w:style w:type="character" w:customStyle="1" w:styleId="HeaderChar">
    <w:name w:val="Header Char"/>
    <w:basedOn w:val="DefaultParagraphFont"/>
    <w:link w:val="Header"/>
    <w:uiPriority w:val="99"/>
    <w:rsid w:val="008C0A3D"/>
  </w:style>
  <w:style w:type="paragraph" w:styleId="Footer">
    <w:name w:val="footer"/>
    <w:basedOn w:val="Normal"/>
    <w:link w:val="FooterChar"/>
    <w:uiPriority w:val="99"/>
    <w:unhideWhenUsed/>
    <w:rsid w:val="008C0A3D"/>
    <w:pPr>
      <w:tabs>
        <w:tab w:val="center" w:pos="4680"/>
        <w:tab w:val="right" w:pos="9360"/>
      </w:tabs>
    </w:pPr>
  </w:style>
  <w:style w:type="character" w:customStyle="1" w:styleId="FooterChar">
    <w:name w:val="Footer Char"/>
    <w:basedOn w:val="DefaultParagraphFont"/>
    <w:link w:val="Footer"/>
    <w:uiPriority w:val="99"/>
    <w:rsid w:val="008C0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66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E79DC-C167-2A4A-9205-67DF62B66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Piechotta</dc:creator>
  <cp:keywords/>
  <dc:description/>
  <cp:lastModifiedBy>Ryan Roche</cp:lastModifiedBy>
  <cp:revision>4</cp:revision>
  <dcterms:created xsi:type="dcterms:W3CDTF">2019-11-04T17:38:00Z</dcterms:created>
  <dcterms:modified xsi:type="dcterms:W3CDTF">2019-11-04T17:44:00Z</dcterms:modified>
</cp:coreProperties>
</file>